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EF23" w14:textId="4631D4CC" w:rsidR="00F17F3B" w:rsidRDefault="00D15DC4" w:rsidP="61B15DEA">
      <w:pPr>
        <w:ind w:left="5760"/>
        <w:jc w:val="center"/>
      </w:pPr>
      <w:r>
        <w:br/>
      </w:r>
    </w:p>
    <w:p w14:paraId="04C8E43E" w14:textId="223F04E1" w:rsidR="00F17F3B" w:rsidRDefault="00F17F3B" w:rsidP="61B15DEA">
      <w:pPr>
        <w:jc w:val="center"/>
        <w:rPr>
          <w:rFonts w:ascii="Arial Nova" w:eastAsia="Arial Nova" w:hAnsi="Arial Nova" w:cs="Arial Nova"/>
          <w:b/>
          <w:bCs/>
          <w:color w:val="000000" w:themeColor="text1"/>
          <w:sz w:val="40"/>
          <w:szCs w:val="40"/>
        </w:rPr>
      </w:pPr>
    </w:p>
    <w:p w14:paraId="223AF03F" w14:textId="7DAC3F39" w:rsidR="00F17F3B" w:rsidRDefault="00F17F3B" w:rsidP="61B15DEA">
      <w:pPr>
        <w:jc w:val="center"/>
        <w:rPr>
          <w:rFonts w:ascii="Arial Nova" w:eastAsia="Arial Nova" w:hAnsi="Arial Nova" w:cs="Arial Nova"/>
          <w:b/>
          <w:bCs/>
          <w:color w:val="000000" w:themeColor="text1"/>
          <w:sz w:val="40"/>
          <w:szCs w:val="40"/>
        </w:rPr>
      </w:pPr>
    </w:p>
    <w:p w14:paraId="4D75A489" w14:textId="50BC70D3" w:rsidR="00F17F3B" w:rsidRDefault="65E64F2C" w:rsidP="61B15DEA">
      <w:pPr>
        <w:jc w:val="center"/>
        <w:rPr>
          <w:rFonts w:ascii="Arial Nova" w:eastAsia="Arial Nova" w:hAnsi="Arial Nova" w:cs="Arial Nova"/>
          <w:color w:val="000000" w:themeColor="text1"/>
          <w:sz w:val="40"/>
          <w:szCs w:val="40"/>
        </w:rPr>
      </w:pPr>
      <w:r w:rsidRPr="61B15DEA">
        <w:rPr>
          <w:rFonts w:ascii="Arial Nova" w:eastAsia="Arial Nova" w:hAnsi="Arial Nova" w:cs="Arial Nova"/>
          <w:b/>
          <w:bCs/>
          <w:color w:val="000000" w:themeColor="text1"/>
          <w:sz w:val="40"/>
          <w:szCs w:val="40"/>
        </w:rPr>
        <w:t xml:space="preserve">Workforce Sexual Orientation Equality Standard Report </w:t>
      </w:r>
    </w:p>
    <w:p w14:paraId="5409D51C" w14:textId="67CFABFE" w:rsidR="00F17F3B" w:rsidRDefault="00F17F3B" w:rsidP="61B15DEA">
      <w:pPr>
        <w:jc w:val="center"/>
        <w:rPr>
          <w:rFonts w:ascii="Arial Nova" w:eastAsia="Arial Nova" w:hAnsi="Arial Nova" w:cs="Arial Nova"/>
          <w:color w:val="000000" w:themeColor="text1"/>
          <w:sz w:val="40"/>
          <w:szCs w:val="40"/>
        </w:rPr>
      </w:pPr>
    </w:p>
    <w:p w14:paraId="3F86A8DD" w14:textId="7E128E55" w:rsidR="00F17F3B" w:rsidRDefault="65E64F2C" w:rsidP="61B15DEA">
      <w:pPr>
        <w:jc w:val="center"/>
        <w:rPr>
          <w:rFonts w:ascii="Arial Nova" w:eastAsia="Arial Nova" w:hAnsi="Arial Nova" w:cs="Arial Nova"/>
          <w:color w:val="000000" w:themeColor="text1"/>
          <w:sz w:val="40"/>
          <w:szCs w:val="40"/>
        </w:rPr>
      </w:pPr>
      <w:r w:rsidRPr="61B15DEA">
        <w:rPr>
          <w:rFonts w:ascii="Arial Nova" w:eastAsia="Arial Nova" w:hAnsi="Arial Nova" w:cs="Arial Nova"/>
          <w:b/>
          <w:bCs/>
          <w:color w:val="000000" w:themeColor="text1"/>
          <w:sz w:val="40"/>
          <w:szCs w:val="40"/>
        </w:rPr>
        <w:t>2024-2025</w:t>
      </w:r>
    </w:p>
    <w:p w14:paraId="5E5787A5" w14:textId="168278E1" w:rsidR="00F17F3B" w:rsidRDefault="00F17F3B"/>
    <w:p w14:paraId="7BD1FAF1" w14:textId="7E0B42E4" w:rsidR="61B15DEA" w:rsidRDefault="61B15DEA"/>
    <w:p w14:paraId="07F91271" w14:textId="7C407777" w:rsidR="61B15DEA" w:rsidRDefault="61B15DEA"/>
    <w:p w14:paraId="2693E9EC" w14:textId="07BEE581" w:rsidR="61B15DEA" w:rsidRDefault="61B15DEA"/>
    <w:p w14:paraId="4863EBC9" w14:textId="10146637" w:rsidR="61B15DEA" w:rsidRDefault="61B15DEA"/>
    <w:p w14:paraId="2F16B4F1" w14:textId="1AA3BA10" w:rsidR="61B15DEA" w:rsidRDefault="61B15DEA"/>
    <w:p w14:paraId="6F21C3F8" w14:textId="564A36E6" w:rsidR="61B15DEA" w:rsidRDefault="61B15DEA"/>
    <w:p w14:paraId="0EDEBACF" w14:textId="1207E811" w:rsidR="61B15DEA" w:rsidRDefault="61B15DEA"/>
    <w:p w14:paraId="63572C03" w14:textId="228E7C75" w:rsidR="61B15DEA" w:rsidRDefault="61B15DEA"/>
    <w:p w14:paraId="492A908B" w14:textId="2F8F96AF" w:rsidR="61B15DEA" w:rsidRDefault="61B15DEA"/>
    <w:p w14:paraId="0DD37F94" w14:textId="7B276404" w:rsidR="61B15DEA" w:rsidRDefault="61B15DEA"/>
    <w:p w14:paraId="43B7165A" w14:textId="7BE0E7BC" w:rsidR="61B15DEA" w:rsidRDefault="61B15DEA"/>
    <w:p w14:paraId="54E2E8EA" w14:textId="5E972541" w:rsidR="61B15DEA" w:rsidRDefault="61B15DEA"/>
    <w:p w14:paraId="29847AB3" w14:textId="0871D2DF" w:rsidR="61B15DEA" w:rsidRDefault="61B15DEA"/>
    <w:p w14:paraId="1DCCABC8" w14:textId="58681722" w:rsidR="61B15DEA" w:rsidRDefault="61B15DEA"/>
    <w:p w14:paraId="254DCDB4" w14:textId="097796EA" w:rsidR="61B15DEA" w:rsidRDefault="61B15DEA"/>
    <w:p w14:paraId="66ACC46F" w14:textId="4BA588DC" w:rsidR="61B15DEA" w:rsidRDefault="61B15DEA"/>
    <w:p w14:paraId="061E894C" w14:textId="01F31DC4" w:rsidR="220DC3ED" w:rsidRDefault="220DC3ED"/>
    <w:p w14:paraId="0B5AFAB1" w14:textId="1B486B41" w:rsidR="220DC3ED" w:rsidRDefault="220DC3ED"/>
    <w:p w14:paraId="0D820F61" w14:textId="33DE3547" w:rsidR="4A5297DA" w:rsidRDefault="4A5297DA" w:rsidP="61B15DEA">
      <w:pPr>
        <w:rPr>
          <w:rFonts w:ascii="Arial Nova" w:eastAsia="Arial Nova" w:hAnsi="Arial Nova" w:cs="Arial Nova"/>
          <w:b/>
          <w:bCs/>
          <w:sz w:val="32"/>
          <w:szCs w:val="32"/>
        </w:rPr>
      </w:pPr>
      <w:r w:rsidRPr="61B15DEA">
        <w:rPr>
          <w:rFonts w:ascii="Arial Nova" w:eastAsia="Arial Nova" w:hAnsi="Arial Nova" w:cs="Arial Nova"/>
          <w:b/>
          <w:bCs/>
          <w:sz w:val="32"/>
          <w:szCs w:val="32"/>
        </w:rPr>
        <w:t>Background</w:t>
      </w:r>
    </w:p>
    <w:p w14:paraId="22A5760E" w14:textId="136219BF" w:rsidR="4A5297DA" w:rsidRDefault="4A5297DA" w:rsidP="61B15DEA">
      <w:pPr>
        <w:rPr>
          <w:rFonts w:ascii="Arial Nova" w:eastAsia="Arial Nova" w:hAnsi="Arial Nova" w:cs="Arial Nova"/>
        </w:rPr>
      </w:pPr>
      <w:r w:rsidRPr="7AB69FBD">
        <w:rPr>
          <w:rFonts w:ascii="Arial Nova" w:eastAsia="Arial Nova" w:hAnsi="Arial Nova" w:cs="Arial Nova"/>
        </w:rPr>
        <w:t xml:space="preserve">Our Workforce Sexual Orientation Monitoring Standard (WSOES) uses similar indicators to the national Workforce Race Equality and Disability Equality Standards with specific indicators agreed with our </w:t>
      </w:r>
      <w:r w:rsidR="5A1371C0" w:rsidRPr="7AB69FBD">
        <w:rPr>
          <w:rFonts w:ascii="Arial Nova" w:eastAsia="Arial Nova" w:hAnsi="Arial Nova" w:cs="Arial Nova"/>
        </w:rPr>
        <w:t>LGBT+</w:t>
      </w:r>
      <w:r w:rsidRPr="7AB69FBD">
        <w:rPr>
          <w:rFonts w:ascii="Arial Nova" w:eastAsia="Arial Nova" w:hAnsi="Arial Nova" w:cs="Arial Nova"/>
        </w:rPr>
        <w:t xml:space="preserve"> colleague network. We have begun to explore how to further develop this standard to enable us to monitor colleague experience based on trans status and gender identity.</w:t>
      </w:r>
    </w:p>
    <w:p w14:paraId="7583F432" w14:textId="38F02923" w:rsidR="4A5297DA" w:rsidRDefault="4A5297DA" w:rsidP="61B15DEA">
      <w:pPr>
        <w:rPr>
          <w:rFonts w:ascii="Arial Nova" w:eastAsia="Arial Nova" w:hAnsi="Arial Nova" w:cs="Arial Nova"/>
        </w:rPr>
      </w:pPr>
      <w:r w:rsidRPr="61B15DEA">
        <w:rPr>
          <w:rFonts w:ascii="Arial Nova" w:eastAsia="Arial Nova" w:hAnsi="Arial Nova" w:cs="Arial Nova"/>
        </w:rPr>
        <w:t>Currently, the employee record system (ESR) does not allow for trans status or identities outside of the binary (i.e. man/woman) to be recorded. As many of the indicators rely on this data, this is preventing us from doing so. We are actively lobbying for this to be updated nationally by the Department for Health and Social Care. It is important to us that we are taking steps to understand the experience of our trans and non-binary colleagues in our workplace.</w:t>
      </w:r>
    </w:p>
    <w:p w14:paraId="777BCE47" w14:textId="5BB24D25" w:rsidR="61B15DEA" w:rsidRDefault="61B15DEA" w:rsidP="61B15DEA">
      <w:pPr>
        <w:rPr>
          <w:rFonts w:ascii="Arial Nova" w:eastAsia="Arial Nova" w:hAnsi="Arial Nova" w:cs="Arial Nova"/>
        </w:rPr>
      </w:pPr>
    </w:p>
    <w:p w14:paraId="6F705756" w14:textId="3D2448BF" w:rsidR="446B6CF9" w:rsidRDefault="446B6CF9" w:rsidP="61B15DEA">
      <w:pPr>
        <w:rPr>
          <w:rFonts w:ascii="Arial Nova" w:eastAsia="Arial Nova" w:hAnsi="Arial Nova" w:cs="Arial Nova"/>
          <w:b/>
          <w:bCs/>
        </w:rPr>
      </w:pPr>
      <w:r w:rsidRPr="4108CB2A">
        <w:rPr>
          <w:rFonts w:ascii="Arial Nova" w:eastAsia="Arial Nova" w:hAnsi="Arial Nova" w:cs="Arial Nova"/>
          <w:b/>
          <w:bCs/>
        </w:rPr>
        <w:t>Summary of</w:t>
      </w:r>
      <w:r w:rsidR="3EE4B4E0" w:rsidRPr="4108CB2A">
        <w:rPr>
          <w:rFonts w:ascii="Arial Nova" w:eastAsia="Arial Nova" w:hAnsi="Arial Nova" w:cs="Arial Nova"/>
          <w:b/>
          <w:bCs/>
        </w:rPr>
        <w:t xml:space="preserve"> </w:t>
      </w:r>
      <w:r w:rsidR="25F37E4D" w:rsidRPr="4108CB2A">
        <w:rPr>
          <w:rFonts w:ascii="Arial Nova" w:eastAsia="Arial Nova" w:hAnsi="Arial Nova" w:cs="Arial Nova"/>
          <w:b/>
          <w:bCs/>
        </w:rPr>
        <w:t>Data</w:t>
      </w:r>
    </w:p>
    <w:p w14:paraId="07FC8245" w14:textId="7D873233" w:rsidR="535A54CE" w:rsidRDefault="535A54CE" w:rsidP="7AB69FBD">
      <w:pPr>
        <w:rPr>
          <w:rFonts w:ascii="Arial Nova" w:eastAsia="Arial Nova" w:hAnsi="Arial Nova" w:cs="Arial Nova"/>
        </w:rPr>
      </w:pPr>
      <w:r w:rsidRPr="7AB69FBD">
        <w:rPr>
          <w:rFonts w:ascii="Arial Nova" w:eastAsia="Arial Nova" w:hAnsi="Arial Nova" w:cs="Arial Nova"/>
        </w:rPr>
        <w:t xml:space="preserve">The latest WSOES data reveals a mixed picture of progress and ongoing challenges in </w:t>
      </w:r>
      <w:r w:rsidR="6DB3D9E8" w:rsidRPr="7AB69FBD">
        <w:rPr>
          <w:rFonts w:ascii="Arial Nova" w:eastAsia="Arial Nova" w:hAnsi="Arial Nova" w:cs="Arial Nova"/>
        </w:rPr>
        <w:t>LGB+</w:t>
      </w:r>
      <w:r w:rsidRPr="7AB69FBD">
        <w:rPr>
          <w:rFonts w:ascii="Arial Nova" w:eastAsia="Arial Nova" w:hAnsi="Arial Nova" w:cs="Arial Nova"/>
        </w:rPr>
        <w:t xml:space="preserve"> inclusion. There are some encouraging signs: </w:t>
      </w:r>
      <w:r w:rsidR="6DB3D9E8" w:rsidRPr="7AB69FBD">
        <w:rPr>
          <w:rFonts w:ascii="Arial Nova" w:eastAsia="Arial Nova" w:hAnsi="Arial Nova" w:cs="Arial Nova"/>
        </w:rPr>
        <w:t>LGB+</w:t>
      </w:r>
      <w:r w:rsidRPr="7AB69FBD">
        <w:rPr>
          <w:rFonts w:ascii="Arial Nova" w:eastAsia="Arial Nova" w:hAnsi="Arial Nova" w:cs="Arial Nova"/>
        </w:rPr>
        <w:t xml:space="preserve"> candidates are being appointed at a fair rate compared to heterosexual candidates, with the relative likelihood increasing to an equal 1.00. Importantly, no </w:t>
      </w:r>
      <w:r w:rsidR="6DB3D9E8" w:rsidRPr="7AB69FBD">
        <w:rPr>
          <w:rFonts w:ascii="Arial Nova" w:eastAsia="Arial Nova" w:hAnsi="Arial Nova" w:cs="Arial Nova"/>
        </w:rPr>
        <w:t>LGB+</w:t>
      </w:r>
      <w:r w:rsidRPr="7AB69FBD">
        <w:rPr>
          <w:rFonts w:ascii="Arial Nova" w:eastAsia="Arial Nova" w:hAnsi="Arial Nova" w:cs="Arial Nova"/>
        </w:rPr>
        <w:t xml:space="preserve"> colleagues entered the formal disciplinary process in either year, suggesting equity. Additionally, access to non-mandatory training and CPD for </w:t>
      </w:r>
      <w:r w:rsidR="6DB3D9E8" w:rsidRPr="7AB69FBD">
        <w:rPr>
          <w:rFonts w:ascii="Arial Nova" w:eastAsia="Arial Nova" w:hAnsi="Arial Nova" w:cs="Arial Nova"/>
        </w:rPr>
        <w:t>LGB+</w:t>
      </w:r>
      <w:r w:rsidRPr="7AB69FBD">
        <w:rPr>
          <w:rFonts w:ascii="Arial Nova" w:eastAsia="Arial Nova" w:hAnsi="Arial Nova" w:cs="Arial Nova"/>
        </w:rPr>
        <w:t xml:space="preserve"> staff has improved significantly, rising from 0.81 to 1.23, indicating growing opportunities for this community.</w:t>
      </w:r>
      <w:r>
        <w:br/>
      </w:r>
      <w:r>
        <w:br/>
      </w:r>
      <w:r w:rsidRPr="7AB69FBD">
        <w:rPr>
          <w:rFonts w:ascii="Arial Nova" w:eastAsia="Arial Nova" w:hAnsi="Arial Nova" w:cs="Arial Nova"/>
        </w:rPr>
        <w:t xml:space="preserve">However, areas for improvement remain. There is still no visible </w:t>
      </w:r>
      <w:r w:rsidR="6DB3D9E8" w:rsidRPr="7AB69FBD">
        <w:rPr>
          <w:rFonts w:ascii="Arial Nova" w:eastAsia="Arial Nova" w:hAnsi="Arial Nova" w:cs="Arial Nova"/>
        </w:rPr>
        <w:t>LGB+</w:t>
      </w:r>
      <w:r w:rsidRPr="7AB69FBD">
        <w:rPr>
          <w:rFonts w:ascii="Arial Nova" w:eastAsia="Arial Nova" w:hAnsi="Arial Nova" w:cs="Arial Nova"/>
        </w:rPr>
        <w:t xml:space="preserve"> representation in Board voting membership, which is critical to inclusive leadership. Also, </w:t>
      </w:r>
      <w:r w:rsidR="6DB3D9E8" w:rsidRPr="7AB69FBD">
        <w:rPr>
          <w:rFonts w:ascii="Arial Nova" w:eastAsia="Arial Nova" w:hAnsi="Arial Nova" w:cs="Arial Nova"/>
        </w:rPr>
        <w:t>LGB+</w:t>
      </w:r>
      <w:r w:rsidRPr="7AB69FBD">
        <w:rPr>
          <w:rFonts w:ascii="Arial Nova" w:eastAsia="Arial Nova" w:hAnsi="Arial Nova" w:cs="Arial Nova"/>
        </w:rPr>
        <w:t xml:space="preserve"> colleagues continue to report higher levels of bullying, harassment, and abuse. In 2024/25, 19.9% of gay or lesbian and 22.0% of bisexual staff reported abuse from managers, compared to just 9.2% of heterosexual colleagues. Experiences of bullying from other colleagues also remain disproportionately high, particularly for bisexual staff, rising to 36.6% compared to 17.4% among heterosexual peers.</w:t>
      </w:r>
      <w:r>
        <w:br/>
      </w:r>
    </w:p>
    <w:p w14:paraId="418204EA" w14:textId="63FE6D03" w:rsidR="535A54CE" w:rsidRDefault="535A54CE">
      <w:r w:rsidRPr="7AB69FBD">
        <w:rPr>
          <w:rFonts w:ascii="Arial Nova" w:eastAsia="Arial Nova" w:hAnsi="Arial Nova" w:cs="Arial Nova"/>
        </w:rPr>
        <w:t xml:space="preserve">In summary, while positive strides have been made in recruitment fairness, training access, and disciplinary procedures, the data highlights persistent inequalities in representation and lived experience for </w:t>
      </w:r>
      <w:r w:rsidR="6DB3D9E8" w:rsidRPr="7AB69FBD">
        <w:rPr>
          <w:rFonts w:ascii="Arial Nova" w:eastAsia="Arial Nova" w:hAnsi="Arial Nova" w:cs="Arial Nova"/>
        </w:rPr>
        <w:t>LGB+</w:t>
      </w:r>
      <w:r w:rsidRPr="7AB69FBD">
        <w:rPr>
          <w:rFonts w:ascii="Arial Nova" w:eastAsia="Arial Nova" w:hAnsi="Arial Nova" w:cs="Arial Nova"/>
        </w:rPr>
        <w:t xml:space="preserve"> colleagues. These findings point to the need for a focus on inclusive leadership, targeted support for bisexual staff, and interventions to reduce harassment and foster a more positive working environment for our </w:t>
      </w:r>
      <w:r w:rsidR="6DB3D9E8" w:rsidRPr="7AB69FBD">
        <w:rPr>
          <w:rFonts w:ascii="Arial Nova" w:eastAsia="Arial Nova" w:hAnsi="Arial Nova" w:cs="Arial Nova"/>
        </w:rPr>
        <w:t>LGB+</w:t>
      </w:r>
      <w:r w:rsidRPr="7AB69FBD">
        <w:rPr>
          <w:rFonts w:ascii="Arial Nova" w:eastAsia="Arial Nova" w:hAnsi="Arial Nova" w:cs="Arial Nova"/>
        </w:rPr>
        <w:t xml:space="preserve"> colleagues.</w:t>
      </w:r>
    </w:p>
    <w:p w14:paraId="104CDE21" w14:textId="6107E4DD" w:rsidR="4108CB2A" w:rsidRDefault="4108CB2A" w:rsidP="4108CB2A">
      <w:pPr>
        <w:rPr>
          <w:rFonts w:ascii="Arial Nova" w:eastAsia="Arial Nova" w:hAnsi="Arial Nova" w:cs="Arial Nova"/>
          <w:b/>
          <w:bCs/>
        </w:rPr>
      </w:pPr>
    </w:p>
    <w:p w14:paraId="705E4FBC" w14:textId="098DE6A7" w:rsidR="61B15DEA" w:rsidRDefault="61B15DEA" w:rsidP="4108CB2A">
      <w:pPr>
        <w:rPr>
          <w:rFonts w:ascii="Arial Nova" w:eastAsia="Arial Nova" w:hAnsi="Arial Nova" w:cs="Arial Nova"/>
          <w:b/>
          <w:bCs/>
        </w:rPr>
      </w:pPr>
    </w:p>
    <w:p w14:paraId="0B84013E" w14:textId="3E86BF66" w:rsidR="61B15DEA" w:rsidRDefault="61B15DEA" w:rsidP="61B15DEA">
      <w:pPr>
        <w:rPr>
          <w:rFonts w:ascii="Aptos" w:eastAsia="Aptos" w:hAnsi="Aptos" w:cs="Aptos"/>
        </w:rPr>
      </w:pPr>
    </w:p>
    <w:p w14:paraId="11A645E2" w14:textId="332793B7" w:rsidR="3389C170" w:rsidRDefault="3389C170" w:rsidP="4108CB2A">
      <w:pPr>
        <w:jc w:val="center"/>
        <w:rPr>
          <w:rFonts w:ascii="Aptos" w:eastAsia="Aptos" w:hAnsi="Aptos" w:cs="Aptos"/>
          <w:b/>
          <w:bCs/>
        </w:rPr>
      </w:pPr>
      <w:r w:rsidRPr="4108CB2A">
        <w:rPr>
          <w:rFonts w:ascii="Aptos" w:eastAsia="Aptos" w:hAnsi="Aptos" w:cs="Aptos"/>
          <w:b/>
          <w:bCs/>
        </w:rPr>
        <w:t>Table of 2024 – 2025 WSOES Results</w:t>
      </w:r>
    </w:p>
    <w:p w14:paraId="112D1E38" w14:textId="6792AD62" w:rsidR="4108CB2A" w:rsidRDefault="4108CB2A" w:rsidP="4108CB2A">
      <w:pPr>
        <w:rPr>
          <w:rFonts w:ascii="Aptos" w:eastAsia="Aptos" w:hAnsi="Aptos" w:cs="Aptos"/>
        </w:rPr>
      </w:pPr>
    </w:p>
    <w:tbl>
      <w:tblPr>
        <w:tblStyle w:val="TableGrid"/>
        <w:tblW w:w="0" w:type="auto"/>
        <w:tblLayout w:type="fixed"/>
        <w:tblLook w:val="06A0" w:firstRow="1" w:lastRow="0" w:firstColumn="1" w:lastColumn="0" w:noHBand="1" w:noVBand="1"/>
      </w:tblPr>
      <w:tblGrid>
        <w:gridCol w:w="3005"/>
        <w:gridCol w:w="1170"/>
        <w:gridCol w:w="900"/>
        <w:gridCol w:w="1065"/>
        <w:gridCol w:w="1200"/>
        <w:gridCol w:w="840"/>
        <w:gridCol w:w="835"/>
      </w:tblGrid>
      <w:tr w:rsidR="61B15DEA" w14:paraId="6DC48443" w14:textId="77777777" w:rsidTr="7AB69FBD">
        <w:trPr>
          <w:trHeight w:val="300"/>
        </w:trPr>
        <w:tc>
          <w:tcPr>
            <w:tcW w:w="3005" w:type="dxa"/>
            <w:shd w:val="clear" w:color="auto" w:fill="215E99" w:themeFill="text2" w:themeFillTint="BF"/>
          </w:tcPr>
          <w:p w14:paraId="1057FD26" w14:textId="3825598B" w:rsidR="61B15DEA" w:rsidRDefault="61B15DEA" w:rsidP="61B15DEA">
            <w:pPr>
              <w:rPr>
                <w:b/>
                <w:bCs/>
              </w:rPr>
            </w:pPr>
          </w:p>
        </w:tc>
        <w:tc>
          <w:tcPr>
            <w:tcW w:w="3135" w:type="dxa"/>
            <w:gridSpan w:val="3"/>
            <w:shd w:val="clear" w:color="auto" w:fill="215E99" w:themeFill="text2" w:themeFillTint="BF"/>
          </w:tcPr>
          <w:p w14:paraId="00614274" w14:textId="18B3C5CC" w:rsidR="7C2F6F24" w:rsidRDefault="7C2F6F24" w:rsidP="61B15DEA">
            <w:pPr>
              <w:rPr>
                <w:b/>
                <w:bCs/>
              </w:rPr>
            </w:pPr>
            <w:r w:rsidRPr="61B15DEA">
              <w:rPr>
                <w:b/>
                <w:bCs/>
              </w:rPr>
              <w:t>2023/24</w:t>
            </w:r>
          </w:p>
        </w:tc>
        <w:tc>
          <w:tcPr>
            <w:tcW w:w="2875" w:type="dxa"/>
            <w:gridSpan w:val="3"/>
            <w:shd w:val="clear" w:color="auto" w:fill="215E99" w:themeFill="text2" w:themeFillTint="BF"/>
          </w:tcPr>
          <w:p w14:paraId="6F3C4D24" w14:textId="44ADF2FD" w:rsidR="7C2F6F24" w:rsidRDefault="7C2F6F24" w:rsidP="61B15DEA">
            <w:pPr>
              <w:rPr>
                <w:b/>
                <w:bCs/>
              </w:rPr>
            </w:pPr>
            <w:r w:rsidRPr="61B15DEA">
              <w:rPr>
                <w:b/>
                <w:bCs/>
              </w:rPr>
              <w:t>2024/25</w:t>
            </w:r>
          </w:p>
        </w:tc>
      </w:tr>
      <w:tr w:rsidR="61B15DEA" w14:paraId="393A12F6" w14:textId="77777777" w:rsidTr="7AB69FBD">
        <w:trPr>
          <w:trHeight w:val="300"/>
        </w:trPr>
        <w:tc>
          <w:tcPr>
            <w:tcW w:w="3005" w:type="dxa"/>
          </w:tcPr>
          <w:p w14:paraId="3A3C3AE2" w14:textId="13C8A43C" w:rsidR="108996DE" w:rsidRDefault="65E9069D" w:rsidP="61B15DEA">
            <w:r>
              <w:t xml:space="preserve">Indicator 1: </w:t>
            </w:r>
            <w:r w:rsidRPr="7AB69FBD">
              <w:rPr>
                <w:rFonts w:ascii="Aptos" w:eastAsia="Aptos" w:hAnsi="Aptos" w:cs="Aptos"/>
              </w:rPr>
              <w:t xml:space="preserve">% of </w:t>
            </w:r>
            <w:r w:rsidR="5A1371C0" w:rsidRPr="7AB69FBD">
              <w:rPr>
                <w:rFonts w:ascii="Aptos" w:eastAsia="Aptos" w:hAnsi="Aptos" w:cs="Aptos"/>
              </w:rPr>
              <w:t>LGB+</w:t>
            </w:r>
            <w:r w:rsidRPr="7AB69FBD">
              <w:rPr>
                <w:rFonts w:ascii="Aptos" w:eastAsia="Aptos" w:hAnsi="Aptos" w:cs="Aptos"/>
              </w:rPr>
              <w:t xml:space="preserve"> colleagues in each of the Agenda for Change bands 1-9, medical and VSM compared with colleagues in the overall workforce</w:t>
            </w:r>
          </w:p>
        </w:tc>
        <w:tc>
          <w:tcPr>
            <w:tcW w:w="3135" w:type="dxa"/>
            <w:gridSpan w:val="3"/>
          </w:tcPr>
          <w:p w14:paraId="67383A34" w14:textId="294D2B6D" w:rsidR="61B15DEA" w:rsidRDefault="61B15DEA" w:rsidP="4108CB2A">
            <w:pPr>
              <w:jc w:val="center"/>
              <w:rPr>
                <w:b/>
                <w:bCs/>
              </w:rPr>
            </w:pPr>
          </w:p>
          <w:p w14:paraId="7127ED37" w14:textId="7C3363C2" w:rsidR="61B15DEA" w:rsidRDefault="61B15DEA" w:rsidP="4108CB2A">
            <w:pPr>
              <w:jc w:val="center"/>
              <w:rPr>
                <w:b/>
                <w:bCs/>
              </w:rPr>
            </w:pPr>
          </w:p>
          <w:p w14:paraId="17A8EF9C" w14:textId="65F1456C" w:rsidR="497EFE3B" w:rsidRDefault="497EFE3B" w:rsidP="4108CB2A">
            <w:pPr>
              <w:jc w:val="center"/>
              <w:rPr>
                <w:rFonts w:ascii="Aptos" w:eastAsia="Aptos" w:hAnsi="Aptos" w:cs="Aptos"/>
                <w:b/>
                <w:bCs/>
              </w:rPr>
            </w:pPr>
            <w:r w:rsidRPr="4108CB2A">
              <w:rPr>
                <w:rFonts w:ascii="Aptos" w:eastAsia="Aptos" w:hAnsi="Aptos" w:cs="Aptos"/>
                <w:b/>
                <w:bCs/>
              </w:rPr>
              <w:t>2.</w:t>
            </w:r>
            <w:r w:rsidR="2F3700E3" w:rsidRPr="4108CB2A">
              <w:rPr>
                <w:rFonts w:ascii="Aptos" w:eastAsia="Aptos" w:hAnsi="Aptos" w:cs="Aptos"/>
                <w:b/>
                <w:bCs/>
              </w:rPr>
              <w:t>51</w:t>
            </w:r>
          </w:p>
          <w:p w14:paraId="6DCD4E61" w14:textId="6C43BAEB" w:rsidR="61B15DEA" w:rsidRDefault="61B15DEA" w:rsidP="4108CB2A">
            <w:pPr>
              <w:jc w:val="center"/>
              <w:rPr>
                <w:b/>
                <w:bCs/>
              </w:rPr>
            </w:pPr>
          </w:p>
        </w:tc>
        <w:tc>
          <w:tcPr>
            <w:tcW w:w="2875" w:type="dxa"/>
            <w:gridSpan w:val="3"/>
          </w:tcPr>
          <w:p w14:paraId="2E51521D" w14:textId="78CBCCAE" w:rsidR="61B15DEA" w:rsidRDefault="61B15DEA" w:rsidP="4108CB2A">
            <w:pPr>
              <w:jc w:val="center"/>
              <w:rPr>
                <w:b/>
                <w:bCs/>
              </w:rPr>
            </w:pPr>
          </w:p>
          <w:p w14:paraId="54E717BE" w14:textId="7CEEBFE3" w:rsidR="61B15DEA" w:rsidRDefault="61B15DEA" w:rsidP="4108CB2A">
            <w:pPr>
              <w:jc w:val="center"/>
              <w:rPr>
                <w:b/>
                <w:bCs/>
              </w:rPr>
            </w:pPr>
          </w:p>
          <w:p w14:paraId="6D41A645" w14:textId="240C765D" w:rsidR="0497A18E" w:rsidRDefault="0497A18E" w:rsidP="4108CB2A">
            <w:pPr>
              <w:jc w:val="center"/>
              <w:rPr>
                <w:b/>
                <w:bCs/>
              </w:rPr>
            </w:pPr>
            <w:r w:rsidRPr="4108CB2A">
              <w:rPr>
                <w:b/>
                <w:bCs/>
              </w:rPr>
              <w:t>2.45</w:t>
            </w:r>
          </w:p>
        </w:tc>
      </w:tr>
      <w:tr w:rsidR="61B15DEA" w14:paraId="15C2DBC9" w14:textId="77777777" w:rsidTr="7AB69FBD">
        <w:trPr>
          <w:trHeight w:val="300"/>
        </w:trPr>
        <w:tc>
          <w:tcPr>
            <w:tcW w:w="3005" w:type="dxa"/>
          </w:tcPr>
          <w:p w14:paraId="37120709" w14:textId="271ECCDB" w:rsidR="108996DE" w:rsidRDefault="65E9069D" w:rsidP="61B15DEA">
            <w:r>
              <w:t xml:space="preserve">Indicator 2: </w:t>
            </w:r>
            <w:r w:rsidRPr="7AB69FBD">
              <w:rPr>
                <w:rFonts w:ascii="Aptos" w:eastAsia="Aptos" w:hAnsi="Aptos" w:cs="Aptos"/>
              </w:rPr>
              <w:t xml:space="preserve">Relative likelihood of </w:t>
            </w:r>
            <w:r w:rsidR="5A1371C0" w:rsidRPr="7AB69FBD">
              <w:rPr>
                <w:rFonts w:ascii="Aptos" w:eastAsia="Aptos" w:hAnsi="Aptos" w:cs="Aptos"/>
              </w:rPr>
              <w:t>LGB+</w:t>
            </w:r>
            <w:r w:rsidRPr="7AB69FBD">
              <w:rPr>
                <w:rFonts w:ascii="Aptos" w:eastAsia="Aptos" w:hAnsi="Aptos" w:cs="Aptos"/>
              </w:rPr>
              <w:t xml:space="preserve"> Candidates being appointed from shortlist compared to that of heterosexual candidates across all posts.</w:t>
            </w:r>
          </w:p>
        </w:tc>
        <w:tc>
          <w:tcPr>
            <w:tcW w:w="3135" w:type="dxa"/>
            <w:gridSpan w:val="3"/>
          </w:tcPr>
          <w:p w14:paraId="65E25E74" w14:textId="17049D71" w:rsidR="61B15DEA" w:rsidRDefault="61B15DEA" w:rsidP="4108CB2A">
            <w:pPr>
              <w:jc w:val="center"/>
              <w:rPr>
                <w:b/>
                <w:bCs/>
              </w:rPr>
            </w:pPr>
          </w:p>
          <w:p w14:paraId="4D22C7D0" w14:textId="1B27997A" w:rsidR="61B15DEA" w:rsidRDefault="61B15DEA" w:rsidP="4108CB2A">
            <w:pPr>
              <w:jc w:val="center"/>
              <w:rPr>
                <w:b/>
                <w:bCs/>
              </w:rPr>
            </w:pPr>
          </w:p>
          <w:p w14:paraId="7471C95C" w14:textId="2ED8D49B" w:rsidR="69F213B2" w:rsidRDefault="69F213B2" w:rsidP="4108CB2A">
            <w:pPr>
              <w:jc w:val="center"/>
              <w:rPr>
                <w:rFonts w:ascii="Aptos" w:eastAsia="Aptos" w:hAnsi="Aptos" w:cs="Aptos"/>
                <w:b/>
                <w:bCs/>
              </w:rPr>
            </w:pPr>
            <w:r w:rsidRPr="4108CB2A">
              <w:rPr>
                <w:rFonts w:ascii="Aptos" w:eastAsia="Aptos" w:hAnsi="Aptos" w:cs="Aptos"/>
                <w:b/>
                <w:bCs/>
              </w:rPr>
              <w:t>0.92</w:t>
            </w:r>
          </w:p>
        </w:tc>
        <w:tc>
          <w:tcPr>
            <w:tcW w:w="2875" w:type="dxa"/>
            <w:gridSpan w:val="3"/>
          </w:tcPr>
          <w:p w14:paraId="361DC746" w14:textId="50DFF15D" w:rsidR="61B15DEA" w:rsidRDefault="61B15DEA" w:rsidP="4108CB2A">
            <w:pPr>
              <w:jc w:val="center"/>
              <w:rPr>
                <w:b/>
                <w:bCs/>
              </w:rPr>
            </w:pPr>
          </w:p>
          <w:p w14:paraId="7362E37A" w14:textId="44F5269B" w:rsidR="61B15DEA" w:rsidRDefault="61B15DEA" w:rsidP="4108CB2A">
            <w:pPr>
              <w:jc w:val="center"/>
              <w:rPr>
                <w:b/>
                <w:bCs/>
              </w:rPr>
            </w:pPr>
          </w:p>
          <w:p w14:paraId="687B4656" w14:textId="4A8241DF" w:rsidR="14CF27D5" w:rsidRDefault="14CF27D5" w:rsidP="4108CB2A">
            <w:pPr>
              <w:jc w:val="center"/>
              <w:rPr>
                <w:b/>
                <w:bCs/>
              </w:rPr>
            </w:pPr>
            <w:r w:rsidRPr="4108CB2A">
              <w:rPr>
                <w:b/>
                <w:bCs/>
              </w:rPr>
              <w:t>1.00</w:t>
            </w:r>
          </w:p>
        </w:tc>
      </w:tr>
      <w:tr w:rsidR="61B15DEA" w14:paraId="53AE45FF" w14:textId="77777777" w:rsidTr="7AB69FBD">
        <w:trPr>
          <w:trHeight w:val="300"/>
        </w:trPr>
        <w:tc>
          <w:tcPr>
            <w:tcW w:w="3005" w:type="dxa"/>
          </w:tcPr>
          <w:p w14:paraId="1B5E000F" w14:textId="4E6AFCF5" w:rsidR="108996DE" w:rsidRDefault="65E9069D" w:rsidP="61B15DEA">
            <w:r>
              <w:t xml:space="preserve">Indicator 3: </w:t>
            </w:r>
            <w:r w:rsidRPr="7AB69FBD">
              <w:rPr>
                <w:rFonts w:ascii="Aptos" w:eastAsia="Aptos" w:hAnsi="Aptos" w:cs="Aptos"/>
              </w:rPr>
              <w:t xml:space="preserve">Relative likelihood of </w:t>
            </w:r>
            <w:r w:rsidR="5A1371C0" w:rsidRPr="7AB69FBD">
              <w:rPr>
                <w:rFonts w:ascii="Aptos" w:eastAsia="Aptos" w:hAnsi="Aptos" w:cs="Aptos"/>
              </w:rPr>
              <w:t>LGB+</w:t>
            </w:r>
            <w:r w:rsidRPr="7AB69FBD">
              <w:rPr>
                <w:rFonts w:ascii="Aptos" w:eastAsia="Aptos" w:hAnsi="Aptos" w:cs="Aptos"/>
              </w:rPr>
              <w:t xml:space="preserve"> colleagues entering the formal disciplinary process, compared to heterosexual colleagues, as measured by entry into formal disciplinary investigation (across a 2-year reporting period).</w:t>
            </w:r>
          </w:p>
        </w:tc>
        <w:tc>
          <w:tcPr>
            <w:tcW w:w="3135" w:type="dxa"/>
            <w:gridSpan w:val="3"/>
          </w:tcPr>
          <w:p w14:paraId="5C94F7C8" w14:textId="123B07B9" w:rsidR="61B15DEA" w:rsidRDefault="61B15DEA" w:rsidP="4108CB2A">
            <w:pPr>
              <w:jc w:val="center"/>
              <w:rPr>
                <w:b/>
                <w:bCs/>
              </w:rPr>
            </w:pPr>
          </w:p>
          <w:p w14:paraId="7A1D3767" w14:textId="47053C1C" w:rsidR="61B15DEA" w:rsidRDefault="61B15DEA" w:rsidP="4108CB2A">
            <w:pPr>
              <w:jc w:val="center"/>
              <w:rPr>
                <w:b/>
                <w:bCs/>
              </w:rPr>
            </w:pPr>
          </w:p>
          <w:p w14:paraId="2C3856B5" w14:textId="76C576DF" w:rsidR="61B15DEA" w:rsidRDefault="61B15DEA" w:rsidP="4108CB2A">
            <w:pPr>
              <w:jc w:val="center"/>
              <w:rPr>
                <w:b/>
                <w:bCs/>
              </w:rPr>
            </w:pPr>
          </w:p>
          <w:p w14:paraId="516CA444" w14:textId="7E24002E" w:rsidR="70FAE157" w:rsidRDefault="0938B546" w:rsidP="4108CB2A">
            <w:pPr>
              <w:jc w:val="center"/>
              <w:rPr>
                <w:b/>
                <w:bCs/>
              </w:rPr>
            </w:pPr>
            <w:r w:rsidRPr="7AB69FBD">
              <w:rPr>
                <w:b/>
                <w:bCs/>
              </w:rPr>
              <w:t xml:space="preserve">N/A (no </w:t>
            </w:r>
            <w:r w:rsidR="5A1371C0" w:rsidRPr="7AB69FBD">
              <w:rPr>
                <w:b/>
                <w:bCs/>
              </w:rPr>
              <w:t>LGB+</w:t>
            </w:r>
            <w:r w:rsidR="61ADAD38" w:rsidRPr="7AB69FBD">
              <w:rPr>
                <w:b/>
                <w:bCs/>
              </w:rPr>
              <w:t xml:space="preserve"> colleagues entered the formal disciplinary process)</w:t>
            </w:r>
          </w:p>
        </w:tc>
        <w:tc>
          <w:tcPr>
            <w:tcW w:w="2875" w:type="dxa"/>
            <w:gridSpan w:val="3"/>
          </w:tcPr>
          <w:p w14:paraId="14762324" w14:textId="1E1BCE79" w:rsidR="61B15DEA" w:rsidRDefault="61B15DEA" w:rsidP="4108CB2A">
            <w:pPr>
              <w:jc w:val="center"/>
              <w:rPr>
                <w:b/>
                <w:bCs/>
              </w:rPr>
            </w:pPr>
          </w:p>
          <w:p w14:paraId="2FF83679" w14:textId="42A22E51" w:rsidR="61B15DEA" w:rsidRDefault="61B15DEA" w:rsidP="4108CB2A">
            <w:pPr>
              <w:jc w:val="center"/>
              <w:rPr>
                <w:b/>
                <w:bCs/>
              </w:rPr>
            </w:pPr>
          </w:p>
          <w:p w14:paraId="12DC55FD" w14:textId="51C90EC6" w:rsidR="4108CB2A" w:rsidRDefault="4108CB2A" w:rsidP="4108CB2A">
            <w:pPr>
              <w:jc w:val="center"/>
              <w:rPr>
                <w:b/>
                <w:bCs/>
              </w:rPr>
            </w:pPr>
          </w:p>
          <w:p w14:paraId="753FFC8C" w14:textId="482936F1" w:rsidR="33A97B2E" w:rsidRDefault="35D653F8" w:rsidP="4108CB2A">
            <w:pPr>
              <w:jc w:val="center"/>
              <w:rPr>
                <w:b/>
                <w:bCs/>
              </w:rPr>
            </w:pPr>
            <w:r w:rsidRPr="7AB69FBD">
              <w:rPr>
                <w:b/>
                <w:bCs/>
              </w:rPr>
              <w:t xml:space="preserve">N/A (no </w:t>
            </w:r>
            <w:r w:rsidR="5A1371C0" w:rsidRPr="7AB69FBD">
              <w:rPr>
                <w:b/>
                <w:bCs/>
              </w:rPr>
              <w:t>LGB+</w:t>
            </w:r>
            <w:r w:rsidRPr="7AB69FBD">
              <w:rPr>
                <w:b/>
                <w:bCs/>
              </w:rPr>
              <w:t xml:space="preserve"> colleagues entered the formal disciplinary process)</w:t>
            </w:r>
          </w:p>
          <w:p w14:paraId="003C5E95" w14:textId="7DF7AA03" w:rsidR="33A97B2E" w:rsidRDefault="33A97B2E" w:rsidP="4108CB2A">
            <w:pPr>
              <w:jc w:val="center"/>
              <w:rPr>
                <w:b/>
                <w:bCs/>
              </w:rPr>
            </w:pPr>
          </w:p>
        </w:tc>
      </w:tr>
      <w:tr w:rsidR="61B15DEA" w14:paraId="005D958D" w14:textId="77777777" w:rsidTr="7AB69FBD">
        <w:trPr>
          <w:trHeight w:val="300"/>
        </w:trPr>
        <w:tc>
          <w:tcPr>
            <w:tcW w:w="3005" w:type="dxa"/>
          </w:tcPr>
          <w:p w14:paraId="34CEE3CB" w14:textId="3F80CF13" w:rsidR="108996DE" w:rsidRDefault="65E9069D" w:rsidP="61B15DEA">
            <w:r>
              <w:t xml:space="preserve">Indicator 4: </w:t>
            </w:r>
            <w:r w:rsidRPr="7AB69FBD">
              <w:rPr>
                <w:rFonts w:ascii="Aptos" w:eastAsia="Aptos" w:hAnsi="Aptos" w:cs="Aptos"/>
              </w:rPr>
              <w:t xml:space="preserve">Relative Likelihood of </w:t>
            </w:r>
            <w:r w:rsidR="5A1371C0" w:rsidRPr="7AB69FBD">
              <w:rPr>
                <w:rFonts w:ascii="Aptos" w:eastAsia="Aptos" w:hAnsi="Aptos" w:cs="Aptos"/>
              </w:rPr>
              <w:t>LGB+</w:t>
            </w:r>
            <w:r w:rsidRPr="7AB69FBD">
              <w:rPr>
                <w:rFonts w:ascii="Aptos" w:eastAsia="Aptos" w:hAnsi="Aptos" w:cs="Aptos"/>
              </w:rPr>
              <w:t xml:space="preserve"> Colleagues accessing non-mandatory training and CPD compared to heterosexual colleagues</w:t>
            </w:r>
          </w:p>
        </w:tc>
        <w:tc>
          <w:tcPr>
            <w:tcW w:w="3135" w:type="dxa"/>
            <w:gridSpan w:val="3"/>
          </w:tcPr>
          <w:p w14:paraId="6AA2DDED" w14:textId="43FE5DBF" w:rsidR="61B15DEA" w:rsidRDefault="61B15DEA" w:rsidP="4108CB2A">
            <w:pPr>
              <w:jc w:val="center"/>
              <w:rPr>
                <w:b/>
                <w:bCs/>
              </w:rPr>
            </w:pPr>
          </w:p>
          <w:p w14:paraId="0EC17E59" w14:textId="51167C14" w:rsidR="61B15DEA" w:rsidRDefault="61B15DEA" w:rsidP="4108CB2A">
            <w:pPr>
              <w:jc w:val="center"/>
              <w:rPr>
                <w:b/>
                <w:bCs/>
              </w:rPr>
            </w:pPr>
          </w:p>
          <w:p w14:paraId="55CFCEF5" w14:textId="5283BCA1" w:rsidR="61B15DEA" w:rsidRDefault="61B15DEA" w:rsidP="4108CB2A">
            <w:pPr>
              <w:jc w:val="center"/>
              <w:rPr>
                <w:b/>
                <w:bCs/>
              </w:rPr>
            </w:pPr>
          </w:p>
          <w:p w14:paraId="45ABDFE3" w14:textId="7B308BCE" w:rsidR="283016D6" w:rsidRDefault="283016D6" w:rsidP="4108CB2A">
            <w:pPr>
              <w:jc w:val="center"/>
              <w:rPr>
                <w:rFonts w:ascii="Aptos" w:eastAsia="Aptos" w:hAnsi="Aptos" w:cs="Aptos"/>
                <w:b/>
                <w:bCs/>
              </w:rPr>
            </w:pPr>
            <w:r w:rsidRPr="4108CB2A">
              <w:rPr>
                <w:rFonts w:ascii="Aptos" w:eastAsia="Aptos" w:hAnsi="Aptos" w:cs="Aptos"/>
                <w:b/>
                <w:bCs/>
              </w:rPr>
              <w:t>0.81</w:t>
            </w:r>
          </w:p>
        </w:tc>
        <w:tc>
          <w:tcPr>
            <w:tcW w:w="2875" w:type="dxa"/>
            <w:gridSpan w:val="3"/>
          </w:tcPr>
          <w:p w14:paraId="05EFC4AE" w14:textId="670BEE2A" w:rsidR="61B15DEA" w:rsidRDefault="61B15DEA" w:rsidP="4108CB2A">
            <w:pPr>
              <w:jc w:val="center"/>
              <w:rPr>
                <w:b/>
                <w:bCs/>
              </w:rPr>
            </w:pPr>
          </w:p>
          <w:p w14:paraId="46B1E731" w14:textId="534848A7" w:rsidR="61B15DEA" w:rsidRDefault="61B15DEA" w:rsidP="4108CB2A">
            <w:pPr>
              <w:jc w:val="center"/>
              <w:rPr>
                <w:b/>
                <w:bCs/>
              </w:rPr>
            </w:pPr>
          </w:p>
          <w:p w14:paraId="10266D86" w14:textId="1ECB6124" w:rsidR="61B15DEA" w:rsidRDefault="61B15DEA" w:rsidP="4108CB2A">
            <w:pPr>
              <w:jc w:val="center"/>
              <w:rPr>
                <w:b/>
                <w:bCs/>
              </w:rPr>
            </w:pPr>
          </w:p>
          <w:p w14:paraId="3BAA9496" w14:textId="020310C9" w:rsidR="4F013056" w:rsidRDefault="4F013056" w:rsidP="4108CB2A">
            <w:pPr>
              <w:jc w:val="center"/>
              <w:rPr>
                <w:b/>
                <w:bCs/>
              </w:rPr>
            </w:pPr>
            <w:r w:rsidRPr="4108CB2A">
              <w:rPr>
                <w:b/>
                <w:bCs/>
              </w:rPr>
              <w:t>1.23</w:t>
            </w:r>
          </w:p>
        </w:tc>
      </w:tr>
      <w:tr w:rsidR="61B15DEA" w14:paraId="2A68EFF3" w14:textId="77777777" w:rsidTr="7AB69FBD">
        <w:trPr>
          <w:trHeight w:val="525"/>
        </w:trPr>
        <w:tc>
          <w:tcPr>
            <w:tcW w:w="3005" w:type="dxa"/>
            <w:vMerge w:val="restart"/>
          </w:tcPr>
          <w:p w14:paraId="59A62E45" w14:textId="2A2391B4" w:rsidR="61B15DEA" w:rsidRDefault="61B15DEA" w:rsidP="61B15DEA">
            <w:pPr>
              <w:rPr>
                <w:rFonts w:ascii="Aptos" w:eastAsia="Aptos" w:hAnsi="Aptos" w:cs="Aptos"/>
              </w:rPr>
            </w:pPr>
          </w:p>
          <w:p w14:paraId="0FD0770D" w14:textId="65598526" w:rsidR="17AE8FB3" w:rsidRDefault="7C3711AD">
            <w:r w:rsidRPr="7AB69FBD">
              <w:rPr>
                <w:rFonts w:ascii="Aptos" w:eastAsia="Aptos" w:hAnsi="Aptos" w:cs="Aptos"/>
              </w:rPr>
              <w:t xml:space="preserve">Indicator 6: % of </w:t>
            </w:r>
            <w:r w:rsidR="5A1371C0" w:rsidRPr="7AB69FBD">
              <w:rPr>
                <w:rFonts w:ascii="Aptos" w:eastAsia="Aptos" w:hAnsi="Aptos" w:cs="Aptos"/>
              </w:rPr>
              <w:t>LGB+</w:t>
            </w:r>
            <w:r w:rsidRPr="7AB69FBD">
              <w:rPr>
                <w:rFonts w:ascii="Aptos" w:eastAsia="Aptos" w:hAnsi="Aptos" w:cs="Aptos"/>
              </w:rPr>
              <w:t xml:space="preserve"> colleagues who experienced, bullying, harassment or abuse at work from their managers compared with heterosexual colleagues.</w:t>
            </w:r>
          </w:p>
        </w:tc>
        <w:tc>
          <w:tcPr>
            <w:tcW w:w="1170" w:type="dxa"/>
            <w:shd w:val="clear" w:color="auto" w:fill="215E99" w:themeFill="text2" w:themeFillTint="BF"/>
          </w:tcPr>
          <w:p w14:paraId="7D7C876E" w14:textId="13A756D4" w:rsidR="5D5315D5" w:rsidRDefault="5D5315D5" w:rsidP="61B15DEA">
            <w:pPr>
              <w:rPr>
                <w:sz w:val="16"/>
                <w:szCs w:val="16"/>
              </w:rPr>
            </w:pPr>
            <w:r w:rsidRPr="61B15DEA">
              <w:rPr>
                <w:sz w:val="16"/>
                <w:szCs w:val="16"/>
              </w:rPr>
              <w:t>Heterosexual</w:t>
            </w:r>
          </w:p>
        </w:tc>
        <w:tc>
          <w:tcPr>
            <w:tcW w:w="900" w:type="dxa"/>
            <w:shd w:val="clear" w:color="auto" w:fill="215E99" w:themeFill="text2" w:themeFillTint="BF"/>
          </w:tcPr>
          <w:p w14:paraId="7042E05A" w14:textId="6B34617B" w:rsidR="5D5315D5" w:rsidRDefault="5D5315D5" w:rsidP="61B15DEA">
            <w:pPr>
              <w:rPr>
                <w:sz w:val="16"/>
                <w:szCs w:val="16"/>
              </w:rPr>
            </w:pPr>
            <w:r w:rsidRPr="61B15DEA">
              <w:rPr>
                <w:sz w:val="16"/>
                <w:szCs w:val="16"/>
              </w:rPr>
              <w:t>Gay or Lesbian</w:t>
            </w:r>
          </w:p>
        </w:tc>
        <w:tc>
          <w:tcPr>
            <w:tcW w:w="1065" w:type="dxa"/>
            <w:shd w:val="clear" w:color="auto" w:fill="215E99" w:themeFill="text2" w:themeFillTint="BF"/>
          </w:tcPr>
          <w:p w14:paraId="4F1E1AB4" w14:textId="496DD233" w:rsidR="2D2CCD26" w:rsidRDefault="2D2CCD26" w:rsidP="61B15DEA">
            <w:pPr>
              <w:rPr>
                <w:sz w:val="16"/>
                <w:szCs w:val="16"/>
              </w:rPr>
            </w:pPr>
            <w:r w:rsidRPr="61B15DEA">
              <w:rPr>
                <w:sz w:val="16"/>
                <w:szCs w:val="16"/>
              </w:rPr>
              <w:t>Bisexual</w:t>
            </w:r>
          </w:p>
        </w:tc>
        <w:tc>
          <w:tcPr>
            <w:tcW w:w="1200" w:type="dxa"/>
            <w:shd w:val="clear" w:color="auto" w:fill="215E99" w:themeFill="text2" w:themeFillTint="BF"/>
          </w:tcPr>
          <w:p w14:paraId="52C509B5" w14:textId="13A756D4" w:rsidR="2D2CCD26" w:rsidRDefault="2D2CCD26" w:rsidP="61B15DEA">
            <w:pPr>
              <w:rPr>
                <w:sz w:val="16"/>
                <w:szCs w:val="16"/>
              </w:rPr>
            </w:pPr>
            <w:r w:rsidRPr="61B15DEA">
              <w:rPr>
                <w:sz w:val="16"/>
                <w:szCs w:val="16"/>
              </w:rPr>
              <w:t>Heterosexual</w:t>
            </w:r>
          </w:p>
          <w:p w14:paraId="5F3F8EB7" w14:textId="1B178690" w:rsidR="61B15DEA" w:rsidRDefault="61B15DEA" w:rsidP="61B15DEA">
            <w:pPr>
              <w:rPr>
                <w:sz w:val="16"/>
                <w:szCs w:val="16"/>
              </w:rPr>
            </w:pPr>
          </w:p>
        </w:tc>
        <w:tc>
          <w:tcPr>
            <w:tcW w:w="840" w:type="dxa"/>
            <w:shd w:val="clear" w:color="auto" w:fill="215E99" w:themeFill="text2" w:themeFillTint="BF"/>
          </w:tcPr>
          <w:p w14:paraId="67047916" w14:textId="32D8916D" w:rsidR="2D2CCD26" w:rsidRDefault="2D2CCD26" w:rsidP="61B15DEA">
            <w:pPr>
              <w:rPr>
                <w:sz w:val="16"/>
                <w:szCs w:val="16"/>
              </w:rPr>
            </w:pPr>
            <w:r w:rsidRPr="61B15DEA">
              <w:rPr>
                <w:sz w:val="16"/>
                <w:szCs w:val="16"/>
              </w:rPr>
              <w:t>Gay or Lesbian</w:t>
            </w:r>
          </w:p>
        </w:tc>
        <w:tc>
          <w:tcPr>
            <w:tcW w:w="835" w:type="dxa"/>
            <w:shd w:val="clear" w:color="auto" w:fill="215E99" w:themeFill="text2" w:themeFillTint="BF"/>
          </w:tcPr>
          <w:p w14:paraId="515D41CE" w14:textId="73E03705" w:rsidR="2D2CCD26" w:rsidRDefault="2D2CCD26" w:rsidP="61B15DEA">
            <w:pPr>
              <w:rPr>
                <w:sz w:val="16"/>
                <w:szCs w:val="16"/>
              </w:rPr>
            </w:pPr>
            <w:r w:rsidRPr="61B15DEA">
              <w:rPr>
                <w:sz w:val="16"/>
                <w:szCs w:val="16"/>
              </w:rPr>
              <w:t>Bisexual</w:t>
            </w:r>
          </w:p>
        </w:tc>
      </w:tr>
      <w:tr w:rsidR="61B15DEA" w14:paraId="21BC3336" w14:textId="77777777" w:rsidTr="7AB69FBD">
        <w:trPr>
          <w:trHeight w:val="300"/>
        </w:trPr>
        <w:tc>
          <w:tcPr>
            <w:tcW w:w="3005" w:type="dxa"/>
            <w:vMerge/>
          </w:tcPr>
          <w:p w14:paraId="1D9251B6" w14:textId="77777777" w:rsidR="00F17F3B" w:rsidRDefault="00F17F3B"/>
        </w:tc>
        <w:tc>
          <w:tcPr>
            <w:tcW w:w="1170" w:type="dxa"/>
          </w:tcPr>
          <w:p w14:paraId="2243F874" w14:textId="1058A1BA" w:rsidR="61B15DEA" w:rsidRDefault="61B15DEA" w:rsidP="4108CB2A">
            <w:pPr>
              <w:jc w:val="center"/>
            </w:pPr>
          </w:p>
          <w:p w14:paraId="7D40F926" w14:textId="7AF35739" w:rsidR="61B15DEA" w:rsidRDefault="61B15DEA" w:rsidP="4108CB2A">
            <w:pPr>
              <w:jc w:val="center"/>
            </w:pPr>
          </w:p>
          <w:p w14:paraId="3D448A60" w14:textId="1952AF63" w:rsidR="61B15DEA" w:rsidRDefault="07AE05DA" w:rsidP="4108CB2A">
            <w:pPr>
              <w:jc w:val="center"/>
              <w:rPr>
                <w:b/>
                <w:bCs/>
              </w:rPr>
            </w:pPr>
            <w:r w:rsidRPr="4108CB2A">
              <w:rPr>
                <w:b/>
                <w:bCs/>
              </w:rPr>
              <w:t>9.1</w:t>
            </w:r>
          </w:p>
          <w:p w14:paraId="29C8F410" w14:textId="1B75543D" w:rsidR="61B15DEA" w:rsidRDefault="61B15DEA" w:rsidP="4108CB2A">
            <w:pPr>
              <w:jc w:val="center"/>
            </w:pPr>
          </w:p>
        </w:tc>
        <w:tc>
          <w:tcPr>
            <w:tcW w:w="900" w:type="dxa"/>
          </w:tcPr>
          <w:p w14:paraId="779AC1CB" w14:textId="714301A0" w:rsidR="61B15DEA" w:rsidRDefault="61B15DEA" w:rsidP="4108CB2A">
            <w:pPr>
              <w:jc w:val="center"/>
            </w:pPr>
          </w:p>
          <w:p w14:paraId="5AF426AE" w14:textId="5879425E" w:rsidR="61B15DEA" w:rsidRDefault="61B15DEA" w:rsidP="4108CB2A">
            <w:pPr>
              <w:jc w:val="center"/>
            </w:pPr>
          </w:p>
          <w:p w14:paraId="1449DC63" w14:textId="531945A2" w:rsidR="61B15DEA" w:rsidRDefault="07AE05DA" w:rsidP="4108CB2A">
            <w:pPr>
              <w:jc w:val="center"/>
              <w:rPr>
                <w:b/>
                <w:bCs/>
              </w:rPr>
            </w:pPr>
            <w:r w:rsidRPr="4108CB2A">
              <w:rPr>
                <w:b/>
                <w:bCs/>
              </w:rPr>
              <w:t>17.0</w:t>
            </w:r>
          </w:p>
        </w:tc>
        <w:tc>
          <w:tcPr>
            <w:tcW w:w="1065" w:type="dxa"/>
          </w:tcPr>
          <w:p w14:paraId="4DE6A4C2" w14:textId="16BB662C" w:rsidR="61B15DEA" w:rsidRDefault="61B15DEA" w:rsidP="4108CB2A">
            <w:pPr>
              <w:jc w:val="center"/>
            </w:pPr>
          </w:p>
          <w:p w14:paraId="44F67376" w14:textId="071191DE" w:rsidR="61B15DEA" w:rsidRDefault="61B15DEA" w:rsidP="4108CB2A">
            <w:pPr>
              <w:jc w:val="center"/>
            </w:pPr>
          </w:p>
          <w:p w14:paraId="393ACE87" w14:textId="78F7A67A" w:rsidR="61B15DEA" w:rsidRDefault="07AE05DA" w:rsidP="4108CB2A">
            <w:pPr>
              <w:jc w:val="center"/>
              <w:rPr>
                <w:b/>
                <w:bCs/>
              </w:rPr>
            </w:pPr>
            <w:r w:rsidRPr="4108CB2A">
              <w:rPr>
                <w:b/>
                <w:bCs/>
              </w:rPr>
              <w:t>10.0</w:t>
            </w:r>
          </w:p>
        </w:tc>
        <w:tc>
          <w:tcPr>
            <w:tcW w:w="1200" w:type="dxa"/>
          </w:tcPr>
          <w:p w14:paraId="63986C07" w14:textId="2381E6BB" w:rsidR="61B15DEA" w:rsidRDefault="61B15DEA" w:rsidP="4108CB2A">
            <w:pPr>
              <w:jc w:val="center"/>
              <w:rPr>
                <w:b/>
                <w:bCs/>
              </w:rPr>
            </w:pPr>
          </w:p>
          <w:p w14:paraId="4A3EBEB3" w14:textId="3BEBED6A" w:rsidR="61B15DEA" w:rsidRDefault="61B15DEA" w:rsidP="4108CB2A">
            <w:pPr>
              <w:jc w:val="center"/>
              <w:rPr>
                <w:b/>
                <w:bCs/>
              </w:rPr>
            </w:pPr>
          </w:p>
          <w:p w14:paraId="00D5E845" w14:textId="2D98D15B" w:rsidR="440D6283" w:rsidRDefault="07AE05DA" w:rsidP="4108CB2A">
            <w:pPr>
              <w:jc w:val="center"/>
              <w:rPr>
                <w:b/>
                <w:bCs/>
              </w:rPr>
            </w:pPr>
            <w:r w:rsidRPr="4108CB2A">
              <w:rPr>
                <w:b/>
                <w:bCs/>
              </w:rPr>
              <w:t>9.2</w:t>
            </w:r>
          </w:p>
          <w:p w14:paraId="054758ED" w14:textId="59995F96" w:rsidR="61B15DEA" w:rsidRDefault="61B15DEA" w:rsidP="4108CB2A">
            <w:pPr>
              <w:jc w:val="center"/>
              <w:rPr>
                <w:b/>
                <w:bCs/>
              </w:rPr>
            </w:pPr>
          </w:p>
          <w:p w14:paraId="21A2F91C" w14:textId="416DB6AE" w:rsidR="61B15DEA" w:rsidRDefault="61B15DEA" w:rsidP="4108CB2A">
            <w:pPr>
              <w:jc w:val="center"/>
              <w:rPr>
                <w:b/>
                <w:bCs/>
              </w:rPr>
            </w:pPr>
          </w:p>
        </w:tc>
        <w:tc>
          <w:tcPr>
            <w:tcW w:w="840" w:type="dxa"/>
          </w:tcPr>
          <w:p w14:paraId="26A27797" w14:textId="5EBE1A79" w:rsidR="61B15DEA" w:rsidRDefault="61B15DEA" w:rsidP="4108CB2A">
            <w:pPr>
              <w:jc w:val="center"/>
              <w:rPr>
                <w:b/>
                <w:bCs/>
              </w:rPr>
            </w:pPr>
          </w:p>
          <w:p w14:paraId="50D78DA8" w14:textId="784F894F" w:rsidR="61B15DEA" w:rsidRDefault="61B15DEA" w:rsidP="4108CB2A">
            <w:pPr>
              <w:jc w:val="center"/>
              <w:rPr>
                <w:b/>
                <w:bCs/>
              </w:rPr>
            </w:pPr>
          </w:p>
          <w:p w14:paraId="742130C5" w14:textId="3AA26E8C" w:rsidR="07AE05DA" w:rsidRDefault="07AE05DA" w:rsidP="4108CB2A">
            <w:pPr>
              <w:jc w:val="center"/>
            </w:pPr>
            <w:r w:rsidRPr="4108CB2A">
              <w:rPr>
                <w:b/>
                <w:bCs/>
              </w:rPr>
              <w:t>19.9</w:t>
            </w:r>
          </w:p>
          <w:p w14:paraId="70586AD2" w14:textId="1138B600" w:rsidR="61B15DEA" w:rsidRDefault="61B15DEA" w:rsidP="4108CB2A">
            <w:pPr>
              <w:jc w:val="center"/>
              <w:rPr>
                <w:b/>
                <w:bCs/>
              </w:rPr>
            </w:pPr>
          </w:p>
        </w:tc>
        <w:tc>
          <w:tcPr>
            <w:tcW w:w="835" w:type="dxa"/>
          </w:tcPr>
          <w:p w14:paraId="355F738E" w14:textId="26C50C06" w:rsidR="61B15DEA" w:rsidRDefault="61B15DEA" w:rsidP="4108CB2A">
            <w:pPr>
              <w:jc w:val="center"/>
              <w:rPr>
                <w:b/>
                <w:bCs/>
              </w:rPr>
            </w:pPr>
          </w:p>
          <w:p w14:paraId="02B91095" w14:textId="3E43600C" w:rsidR="61B15DEA" w:rsidRDefault="61B15DEA" w:rsidP="4108CB2A">
            <w:pPr>
              <w:jc w:val="center"/>
              <w:rPr>
                <w:b/>
                <w:bCs/>
              </w:rPr>
            </w:pPr>
          </w:p>
          <w:p w14:paraId="73714803" w14:textId="6C7B1796" w:rsidR="07AE05DA" w:rsidRDefault="07AE05DA" w:rsidP="4108CB2A">
            <w:pPr>
              <w:jc w:val="center"/>
              <w:rPr>
                <w:b/>
                <w:bCs/>
              </w:rPr>
            </w:pPr>
            <w:r w:rsidRPr="4108CB2A">
              <w:rPr>
                <w:b/>
                <w:bCs/>
              </w:rPr>
              <w:t>22</w:t>
            </w:r>
            <w:r w:rsidR="4F3AD6DB" w:rsidRPr="4108CB2A">
              <w:rPr>
                <w:b/>
                <w:bCs/>
              </w:rPr>
              <w:t>.0</w:t>
            </w:r>
          </w:p>
          <w:p w14:paraId="6F44F210" w14:textId="5B935D0C" w:rsidR="61B15DEA" w:rsidRDefault="61B15DEA" w:rsidP="4108CB2A">
            <w:pPr>
              <w:jc w:val="center"/>
              <w:rPr>
                <w:b/>
                <w:bCs/>
              </w:rPr>
            </w:pPr>
          </w:p>
        </w:tc>
      </w:tr>
      <w:tr w:rsidR="61B15DEA" w14:paraId="7AA12BC0" w14:textId="77777777" w:rsidTr="7AB69FBD">
        <w:trPr>
          <w:trHeight w:val="300"/>
        </w:trPr>
        <w:tc>
          <w:tcPr>
            <w:tcW w:w="3005" w:type="dxa"/>
          </w:tcPr>
          <w:p w14:paraId="1FDC6F9C" w14:textId="28B7C2E5" w:rsidR="17AE8FB3" w:rsidRDefault="7C3711AD">
            <w:r w:rsidRPr="7AB69FBD">
              <w:rPr>
                <w:rFonts w:ascii="Aptos" w:eastAsia="Aptos" w:hAnsi="Aptos" w:cs="Aptos"/>
              </w:rPr>
              <w:lastRenderedPageBreak/>
              <w:t xml:space="preserve">Indicator 7: % of </w:t>
            </w:r>
            <w:r w:rsidR="5A1371C0" w:rsidRPr="7AB69FBD">
              <w:rPr>
                <w:rFonts w:ascii="Aptos" w:eastAsia="Aptos" w:hAnsi="Aptos" w:cs="Aptos"/>
              </w:rPr>
              <w:t>LGB+</w:t>
            </w:r>
            <w:r w:rsidRPr="7AB69FBD">
              <w:rPr>
                <w:rFonts w:ascii="Aptos" w:eastAsia="Aptos" w:hAnsi="Aptos" w:cs="Aptos"/>
              </w:rPr>
              <w:t xml:space="preserve"> Colleagues who experienced bullying, harassment and abuse at work from other colleagues compared with heterosexual colleagues</w:t>
            </w:r>
          </w:p>
        </w:tc>
        <w:tc>
          <w:tcPr>
            <w:tcW w:w="1170" w:type="dxa"/>
          </w:tcPr>
          <w:p w14:paraId="44990D24" w14:textId="1459EFCE" w:rsidR="61B15DEA" w:rsidRDefault="61B15DEA" w:rsidP="4108CB2A">
            <w:pPr>
              <w:jc w:val="center"/>
              <w:rPr>
                <w:b/>
                <w:bCs/>
              </w:rPr>
            </w:pPr>
          </w:p>
          <w:p w14:paraId="4406F603" w14:textId="5EEDC358" w:rsidR="61B15DEA" w:rsidRDefault="61B15DEA" w:rsidP="4108CB2A">
            <w:pPr>
              <w:jc w:val="center"/>
              <w:rPr>
                <w:b/>
                <w:bCs/>
              </w:rPr>
            </w:pPr>
          </w:p>
          <w:p w14:paraId="38F215B9" w14:textId="01BEFFD8" w:rsidR="61B15DEA" w:rsidRDefault="4394DC00" w:rsidP="4108CB2A">
            <w:pPr>
              <w:jc w:val="center"/>
              <w:rPr>
                <w:b/>
                <w:bCs/>
              </w:rPr>
            </w:pPr>
            <w:r w:rsidRPr="4108CB2A">
              <w:rPr>
                <w:b/>
                <w:bCs/>
              </w:rPr>
              <w:t>19.4</w:t>
            </w:r>
          </w:p>
        </w:tc>
        <w:tc>
          <w:tcPr>
            <w:tcW w:w="900" w:type="dxa"/>
          </w:tcPr>
          <w:p w14:paraId="209A0689" w14:textId="30A68849" w:rsidR="61B15DEA" w:rsidRDefault="61B15DEA" w:rsidP="4108CB2A">
            <w:pPr>
              <w:jc w:val="center"/>
              <w:rPr>
                <w:b/>
                <w:bCs/>
              </w:rPr>
            </w:pPr>
          </w:p>
          <w:p w14:paraId="488E05EA" w14:textId="7A59444E" w:rsidR="61B15DEA" w:rsidRDefault="61B15DEA" w:rsidP="4108CB2A">
            <w:pPr>
              <w:jc w:val="center"/>
              <w:rPr>
                <w:b/>
                <w:bCs/>
              </w:rPr>
            </w:pPr>
          </w:p>
          <w:p w14:paraId="1971F676" w14:textId="07686F98" w:rsidR="61B15DEA" w:rsidRDefault="4394DC00" w:rsidP="4108CB2A">
            <w:pPr>
              <w:jc w:val="center"/>
              <w:rPr>
                <w:b/>
                <w:bCs/>
              </w:rPr>
            </w:pPr>
            <w:r w:rsidRPr="4108CB2A">
              <w:rPr>
                <w:b/>
                <w:bCs/>
              </w:rPr>
              <w:t>34.0</w:t>
            </w:r>
          </w:p>
        </w:tc>
        <w:tc>
          <w:tcPr>
            <w:tcW w:w="1065" w:type="dxa"/>
          </w:tcPr>
          <w:p w14:paraId="7F4094DD" w14:textId="2FCC59C1" w:rsidR="61B15DEA" w:rsidRDefault="61B15DEA" w:rsidP="4108CB2A">
            <w:pPr>
              <w:jc w:val="center"/>
              <w:rPr>
                <w:b/>
                <w:bCs/>
              </w:rPr>
            </w:pPr>
          </w:p>
          <w:p w14:paraId="476E548D" w14:textId="6ADB1A45" w:rsidR="61B15DEA" w:rsidRDefault="61B15DEA" w:rsidP="4108CB2A">
            <w:pPr>
              <w:jc w:val="center"/>
              <w:rPr>
                <w:b/>
                <w:bCs/>
              </w:rPr>
            </w:pPr>
          </w:p>
          <w:p w14:paraId="10F50224" w14:textId="67597B2A" w:rsidR="61B15DEA" w:rsidRDefault="4A4BF5A5" w:rsidP="4108CB2A">
            <w:pPr>
              <w:jc w:val="center"/>
              <w:rPr>
                <w:b/>
                <w:bCs/>
              </w:rPr>
            </w:pPr>
            <w:r w:rsidRPr="4108CB2A">
              <w:rPr>
                <w:b/>
                <w:bCs/>
              </w:rPr>
              <w:t>34.5</w:t>
            </w:r>
          </w:p>
        </w:tc>
        <w:tc>
          <w:tcPr>
            <w:tcW w:w="1200" w:type="dxa"/>
          </w:tcPr>
          <w:p w14:paraId="66DBD51C" w14:textId="7DCE9DEF" w:rsidR="61B15DEA" w:rsidRDefault="61B15DEA" w:rsidP="4108CB2A">
            <w:pPr>
              <w:jc w:val="center"/>
              <w:rPr>
                <w:b/>
                <w:bCs/>
              </w:rPr>
            </w:pPr>
          </w:p>
          <w:p w14:paraId="5BEF2541" w14:textId="10F988AC" w:rsidR="61B15DEA" w:rsidRDefault="61B15DEA" w:rsidP="4108CB2A">
            <w:pPr>
              <w:jc w:val="center"/>
              <w:rPr>
                <w:b/>
                <w:bCs/>
              </w:rPr>
            </w:pPr>
          </w:p>
          <w:p w14:paraId="1C46FF77" w14:textId="064CF06C" w:rsidR="28256AE8" w:rsidRDefault="4A4BF5A5" w:rsidP="4108CB2A">
            <w:pPr>
              <w:jc w:val="center"/>
            </w:pPr>
            <w:r w:rsidRPr="4108CB2A">
              <w:rPr>
                <w:b/>
                <w:bCs/>
              </w:rPr>
              <w:t>17.4</w:t>
            </w:r>
          </w:p>
        </w:tc>
        <w:tc>
          <w:tcPr>
            <w:tcW w:w="840" w:type="dxa"/>
          </w:tcPr>
          <w:p w14:paraId="1AA5DD3D" w14:textId="4D20305F" w:rsidR="61B15DEA" w:rsidRDefault="61B15DEA" w:rsidP="4108CB2A">
            <w:pPr>
              <w:jc w:val="center"/>
              <w:rPr>
                <w:b/>
                <w:bCs/>
              </w:rPr>
            </w:pPr>
          </w:p>
          <w:p w14:paraId="0825056A" w14:textId="18C71388" w:rsidR="61B15DEA" w:rsidRDefault="61B15DEA" w:rsidP="4108CB2A">
            <w:pPr>
              <w:jc w:val="center"/>
              <w:rPr>
                <w:b/>
                <w:bCs/>
              </w:rPr>
            </w:pPr>
          </w:p>
          <w:p w14:paraId="1F364C13" w14:textId="292485AD" w:rsidR="28256AE8" w:rsidRDefault="4A4BF5A5" w:rsidP="4108CB2A">
            <w:pPr>
              <w:jc w:val="center"/>
            </w:pPr>
            <w:r w:rsidRPr="4108CB2A">
              <w:rPr>
                <w:b/>
                <w:bCs/>
              </w:rPr>
              <w:t>40.5</w:t>
            </w:r>
          </w:p>
        </w:tc>
        <w:tc>
          <w:tcPr>
            <w:tcW w:w="835" w:type="dxa"/>
          </w:tcPr>
          <w:p w14:paraId="67316A59" w14:textId="67E0E5EF" w:rsidR="61B15DEA" w:rsidRDefault="61B15DEA" w:rsidP="4108CB2A">
            <w:pPr>
              <w:jc w:val="center"/>
              <w:rPr>
                <w:b/>
                <w:bCs/>
              </w:rPr>
            </w:pPr>
          </w:p>
          <w:p w14:paraId="4050A868" w14:textId="47CD82DB" w:rsidR="61B15DEA" w:rsidRDefault="61B15DEA" w:rsidP="4108CB2A">
            <w:pPr>
              <w:jc w:val="center"/>
              <w:rPr>
                <w:b/>
                <w:bCs/>
              </w:rPr>
            </w:pPr>
          </w:p>
          <w:p w14:paraId="2BBDBF3F" w14:textId="5AFBE654" w:rsidR="28256AE8" w:rsidRDefault="4DDE6613" w:rsidP="4108CB2A">
            <w:pPr>
              <w:jc w:val="center"/>
            </w:pPr>
            <w:r w:rsidRPr="4108CB2A">
              <w:rPr>
                <w:b/>
                <w:bCs/>
              </w:rPr>
              <w:t>36.6</w:t>
            </w:r>
          </w:p>
        </w:tc>
      </w:tr>
      <w:tr w:rsidR="61B15DEA" w14:paraId="31A947D6" w14:textId="77777777" w:rsidTr="7AB69FBD">
        <w:trPr>
          <w:trHeight w:val="300"/>
        </w:trPr>
        <w:tc>
          <w:tcPr>
            <w:tcW w:w="3005" w:type="dxa"/>
          </w:tcPr>
          <w:p w14:paraId="78387CB9" w14:textId="24DD94D3" w:rsidR="108996DE" w:rsidRDefault="65E9069D" w:rsidP="61B15DEA">
            <w:pPr>
              <w:rPr>
                <w:rFonts w:ascii="Aptos" w:eastAsia="Aptos" w:hAnsi="Aptos" w:cs="Aptos"/>
                <w:sz w:val="20"/>
                <w:szCs w:val="20"/>
              </w:rPr>
            </w:pPr>
            <w:r w:rsidRPr="7AB69FBD">
              <w:rPr>
                <w:sz w:val="20"/>
                <w:szCs w:val="20"/>
              </w:rPr>
              <w:t xml:space="preserve">Indicator 8: </w:t>
            </w:r>
            <w:r w:rsidRPr="7AB69FBD">
              <w:rPr>
                <w:rFonts w:ascii="Aptos" w:eastAsia="Aptos" w:hAnsi="Aptos" w:cs="Aptos"/>
                <w:sz w:val="20"/>
                <w:szCs w:val="20"/>
              </w:rPr>
              <w:t xml:space="preserve">% difference of </w:t>
            </w:r>
            <w:r w:rsidR="5A1371C0" w:rsidRPr="7AB69FBD">
              <w:rPr>
                <w:rFonts w:ascii="Aptos" w:eastAsia="Aptos" w:hAnsi="Aptos" w:cs="Aptos"/>
                <w:sz w:val="20"/>
                <w:szCs w:val="20"/>
              </w:rPr>
              <w:t>LGB+</w:t>
            </w:r>
            <w:r w:rsidRPr="7AB69FBD">
              <w:rPr>
                <w:rFonts w:ascii="Aptos" w:eastAsia="Aptos" w:hAnsi="Aptos" w:cs="Aptos"/>
                <w:sz w:val="20"/>
                <w:szCs w:val="20"/>
              </w:rPr>
              <w:t xml:space="preserve"> colleagues in our Board voting membership compared to overall workforce</w:t>
            </w:r>
          </w:p>
        </w:tc>
        <w:tc>
          <w:tcPr>
            <w:tcW w:w="3135" w:type="dxa"/>
            <w:gridSpan w:val="3"/>
          </w:tcPr>
          <w:p w14:paraId="7877D738" w14:textId="34649070" w:rsidR="183C4B34" w:rsidRDefault="4A0B72BD" w:rsidP="4108CB2A">
            <w:pPr>
              <w:rPr>
                <w:rFonts w:ascii="Aptos" w:eastAsia="Aptos" w:hAnsi="Aptos" w:cs="Aptos"/>
                <w:b/>
                <w:bCs/>
                <w:sz w:val="20"/>
                <w:szCs w:val="20"/>
              </w:rPr>
            </w:pPr>
            <w:r w:rsidRPr="7AB69FBD">
              <w:rPr>
                <w:rFonts w:ascii="Aptos" w:eastAsia="Aptos" w:hAnsi="Aptos" w:cs="Aptos"/>
                <w:b/>
                <w:bCs/>
                <w:sz w:val="20"/>
                <w:szCs w:val="20"/>
              </w:rPr>
              <w:t xml:space="preserve">No visible </w:t>
            </w:r>
            <w:r w:rsidR="5A1371C0" w:rsidRPr="7AB69FBD">
              <w:rPr>
                <w:rFonts w:ascii="Aptos" w:eastAsia="Aptos" w:hAnsi="Aptos" w:cs="Aptos"/>
                <w:b/>
                <w:bCs/>
                <w:sz w:val="20"/>
                <w:szCs w:val="20"/>
              </w:rPr>
              <w:t>LGB+</w:t>
            </w:r>
            <w:r w:rsidRPr="7AB69FBD">
              <w:rPr>
                <w:rFonts w:ascii="Aptos" w:eastAsia="Aptos" w:hAnsi="Aptos" w:cs="Aptos"/>
                <w:b/>
                <w:bCs/>
                <w:sz w:val="20"/>
                <w:szCs w:val="20"/>
              </w:rPr>
              <w:t xml:space="preserve"> representation on the Board voting membership</w:t>
            </w:r>
          </w:p>
        </w:tc>
        <w:tc>
          <w:tcPr>
            <w:tcW w:w="2875" w:type="dxa"/>
            <w:gridSpan w:val="3"/>
          </w:tcPr>
          <w:p w14:paraId="238D4C43" w14:textId="58931790" w:rsidR="6E6F0ED9" w:rsidRDefault="11FB1507" w:rsidP="4108CB2A">
            <w:pPr>
              <w:rPr>
                <w:rFonts w:ascii="Aptos" w:eastAsia="Aptos" w:hAnsi="Aptos" w:cs="Aptos"/>
                <w:b/>
                <w:bCs/>
                <w:sz w:val="20"/>
                <w:szCs w:val="20"/>
              </w:rPr>
            </w:pPr>
            <w:r w:rsidRPr="7AB69FBD">
              <w:rPr>
                <w:rFonts w:ascii="Aptos" w:eastAsia="Aptos" w:hAnsi="Aptos" w:cs="Aptos"/>
                <w:b/>
                <w:bCs/>
                <w:sz w:val="20"/>
                <w:szCs w:val="20"/>
              </w:rPr>
              <w:t xml:space="preserve">No visible </w:t>
            </w:r>
            <w:r w:rsidR="5A1371C0" w:rsidRPr="7AB69FBD">
              <w:rPr>
                <w:rFonts w:ascii="Aptos" w:eastAsia="Aptos" w:hAnsi="Aptos" w:cs="Aptos"/>
                <w:b/>
                <w:bCs/>
                <w:sz w:val="20"/>
                <w:szCs w:val="20"/>
              </w:rPr>
              <w:t>LGB+</w:t>
            </w:r>
            <w:r w:rsidRPr="7AB69FBD">
              <w:rPr>
                <w:rFonts w:ascii="Aptos" w:eastAsia="Aptos" w:hAnsi="Aptos" w:cs="Aptos"/>
                <w:b/>
                <w:bCs/>
                <w:sz w:val="20"/>
                <w:szCs w:val="20"/>
              </w:rPr>
              <w:t xml:space="preserve"> representation on the Board voting membership</w:t>
            </w:r>
          </w:p>
          <w:p w14:paraId="494C9D92" w14:textId="21DBF296" w:rsidR="61B15DEA" w:rsidRDefault="61B15DEA" w:rsidP="4108CB2A">
            <w:pPr>
              <w:rPr>
                <w:b/>
                <w:bCs/>
                <w:sz w:val="20"/>
                <w:szCs w:val="20"/>
              </w:rPr>
            </w:pPr>
          </w:p>
        </w:tc>
      </w:tr>
    </w:tbl>
    <w:p w14:paraId="0B74B22D" w14:textId="48A50E49" w:rsidR="61B15DEA" w:rsidRDefault="61B15DEA"/>
    <w:p w14:paraId="23E3344B" w14:textId="519F8F40" w:rsidR="4E7F07FC" w:rsidRDefault="4E7F07FC" w:rsidP="4108CB2A">
      <w:pPr>
        <w:rPr>
          <w:b/>
          <w:bCs/>
          <w:sz w:val="32"/>
          <w:szCs w:val="32"/>
        </w:rPr>
      </w:pPr>
      <w:r w:rsidRPr="4108CB2A">
        <w:rPr>
          <w:b/>
          <w:bCs/>
          <w:sz w:val="32"/>
          <w:szCs w:val="32"/>
        </w:rPr>
        <w:t>Improvements and Sustained Positive Outcome</w:t>
      </w:r>
    </w:p>
    <w:p w14:paraId="62C336E2" w14:textId="2B1152C1" w:rsidR="4E7F07FC" w:rsidRDefault="4E7F07FC" w:rsidP="4108CB2A">
      <w:pPr>
        <w:rPr>
          <w:rFonts w:ascii="Aptos" w:eastAsia="Aptos" w:hAnsi="Aptos" w:cs="Aptos"/>
          <w:b/>
          <w:bCs/>
        </w:rPr>
      </w:pPr>
      <w:r w:rsidRPr="4108CB2A">
        <w:rPr>
          <w:b/>
          <w:bCs/>
        </w:rPr>
        <w:t xml:space="preserve">Indicator 3: </w:t>
      </w:r>
      <w:r w:rsidRPr="4108CB2A">
        <w:rPr>
          <w:rFonts w:ascii="Aptos" w:eastAsia="Aptos" w:hAnsi="Aptos" w:cs="Aptos"/>
          <w:b/>
          <w:bCs/>
        </w:rPr>
        <w:t>Relative likelihood of LGB+ colleagues entering the formal disciplinary process, compared to heterosexual colleagues, as measured by entry into formal disciplinary investigation.</w:t>
      </w:r>
    </w:p>
    <w:p w14:paraId="7FDB013E" w14:textId="44380A7E" w:rsidR="4E7F07FC" w:rsidRDefault="4E7F07FC" w:rsidP="4108CB2A">
      <w:r w:rsidRPr="4108CB2A">
        <w:rPr>
          <w:rFonts w:ascii="Aptos" w:eastAsia="Aptos" w:hAnsi="Aptos" w:cs="Aptos"/>
        </w:rPr>
        <w:t>No LGB+ colleagues entered the formal disciplinary process.</w:t>
      </w:r>
    </w:p>
    <w:p w14:paraId="693D79ED" w14:textId="5E8D8254" w:rsidR="4108CB2A" w:rsidRDefault="4108CB2A" w:rsidP="4108CB2A">
      <w:pPr>
        <w:rPr>
          <w:rFonts w:ascii="Aptos" w:eastAsia="Aptos" w:hAnsi="Aptos" w:cs="Aptos"/>
        </w:rPr>
      </w:pPr>
    </w:p>
    <w:p w14:paraId="792D9960" w14:textId="2A515E16" w:rsidR="0F3FB289" w:rsidRDefault="0F3FB289" w:rsidP="4108CB2A">
      <w:pPr>
        <w:rPr>
          <w:rFonts w:ascii="Aptos" w:eastAsia="Aptos" w:hAnsi="Aptos" w:cs="Aptos"/>
          <w:b/>
          <w:bCs/>
          <w:sz w:val="32"/>
          <w:szCs w:val="32"/>
        </w:rPr>
      </w:pPr>
      <w:r w:rsidRPr="4108CB2A">
        <w:rPr>
          <w:rFonts w:ascii="Aptos" w:eastAsia="Aptos" w:hAnsi="Aptos" w:cs="Aptos"/>
          <w:b/>
          <w:bCs/>
          <w:sz w:val="32"/>
          <w:szCs w:val="32"/>
        </w:rPr>
        <w:t xml:space="preserve">Deterioration </w:t>
      </w:r>
    </w:p>
    <w:p w14:paraId="34ED24DF" w14:textId="40CF1C26" w:rsidR="0F3FB289" w:rsidRDefault="0F3FB289" w:rsidP="4108CB2A">
      <w:pPr>
        <w:rPr>
          <w:rFonts w:ascii="Aptos" w:eastAsia="Aptos" w:hAnsi="Aptos" w:cs="Aptos"/>
          <w:b/>
          <w:bCs/>
        </w:rPr>
      </w:pPr>
      <w:r w:rsidRPr="4108CB2A">
        <w:rPr>
          <w:b/>
          <w:bCs/>
        </w:rPr>
        <w:t xml:space="preserve">Indicator 1: </w:t>
      </w:r>
      <w:r w:rsidRPr="4108CB2A">
        <w:rPr>
          <w:rFonts w:ascii="Aptos" w:eastAsia="Aptos" w:hAnsi="Aptos" w:cs="Aptos"/>
          <w:b/>
          <w:bCs/>
        </w:rPr>
        <w:t>% of LGB+ colleagues in each of the Agenda for Change bands 1-9, medical and VSM compared with colleagues in the overall workforce</w:t>
      </w:r>
    </w:p>
    <w:p w14:paraId="74BBB9C0" w14:textId="175100C3" w:rsidR="0F3FB289" w:rsidRDefault="0F3FB289" w:rsidP="4108CB2A">
      <w:pPr>
        <w:rPr>
          <w:rFonts w:ascii="Aptos" w:eastAsia="Aptos" w:hAnsi="Aptos" w:cs="Aptos"/>
        </w:rPr>
      </w:pPr>
      <w:r w:rsidRPr="4108CB2A">
        <w:rPr>
          <w:rFonts w:ascii="Aptos" w:eastAsia="Aptos" w:hAnsi="Aptos" w:cs="Aptos"/>
        </w:rPr>
        <w:t>The percentage of LGB+ colleagues followed an upward trend until 2022/23, where it plateaued. This year, the percentage has fallen very slightly</w:t>
      </w:r>
      <w:r w:rsidR="2685D28C" w:rsidRPr="4108CB2A">
        <w:rPr>
          <w:rFonts w:ascii="Aptos" w:eastAsia="Aptos" w:hAnsi="Aptos" w:cs="Aptos"/>
        </w:rPr>
        <w:t xml:space="preserve"> from the previous year.</w:t>
      </w:r>
    </w:p>
    <w:p w14:paraId="47340CB5" w14:textId="783CCF44" w:rsidR="4108CB2A" w:rsidRDefault="4108CB2A" w:rsidP="4108CB2A">
      <w:pPr>
        <w:rPr>
          <w:rFonts w:ascii="Aptos" w:eastAsia="Aptos" w:hAnsi="Aptos" w:cs="Aptos"/>
          <w:b/>
          <w:bCs/>
        </w:rPr>
      </w:pPr>
    </w:p>
    <w:p w14:paraId="38BB60EE" w14:textId="0905DEC3" w:rsidR="0F3FB289" w:rsidRDefault="0F3FB289" w:rsidP="4108CB2A">
      <w:pPr>
        <w:spacing w:after="0"/>
        <w:jc w:val="center"/>
      </w:pPr>
      <w:r>
        <w:rPr>
          <w:noProof/>
        </w:rPr>
        <w:drawing>
          <wp:inline distT="0" distB="0" distL="0" distR="0" wp14:anchorId="60BA93E1" wp14:editId="3659E12A">
            <wp:extent cx="3781426" cy="2275132"/>
            <wp:effectExtent l="0" t="0" r="0" b="0"/>
            <wp:docPr id="1138732063" name="Picture 113873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781426" cy="2275132"/>
                    </a:xfrm>
                    <a:prstGeom prst="rect">
                      <a:avLst/>
                    </a:prstGeom>
                  </pic:spPr>
                </pic:pic>
              </a:graphicData>
            </a:graphic>
          </wp:inline>
        </w:drawing>
      </w:r>
    </w:p>
    <w:p w14:paraId="31214D4D" w14:textId="17EB16CB" w:rsidR="4108CB2A" w:rsidRDefault="4108CB2A" w:rsidP="4108CB2A">
      <w:pPr>
        <w:spacing w:after="0"/>
      </w:pPr>
    </w:p>
    <w:p w14:paraId="5C692DCF" w14:textId="0777D466" w:rsidR="3EB58339" w:rsidRDefault="3EB58339" w:rsidP="4108CB2A">
      <w:pPr>
        <w:spacing w:after="0"/>
      </w:pPr>
      <w:r>
        <w:t>The 2024/25 breakdown of demographics can be seen on the chart below:</w:t>
      </w:r>
    </w:p>
    <w:p w14:paraId="110F8831" w14:textId="6E35C49A" w:rsidR="4108CB2A" w:rsidRDefault="4108CB2A" w:rsidP="4108CB2A">
      <w:pPr>
        <w:spacing w:after="0"/>
      </w:pPr>
    </w:p>
    <w:p w14:paraId="66780190" w14:textId="7722CCB3" w:rsidR="3EB58339" w:rsidRDefault="3EB58339" w:rsidP="4108CB2A">
      <w:pPr>
        <w:spacing w:after="0"/>
        <w:jc w:val="center"/>
        <w:rPr>
          <w:rFonts w:ascii="Aptos" w:eastAsia="Aptos" w:hAnsi="Aptos" w:cs="Aptos"/>
          <w:b/>
          <w:bCs/>
        </w:rPr>
      </w:pPr>
      <w:r>
        <w:rPr>
          <w:noProof/>
        </w:rPr>
        <w:lastRenderedPageBreak/>
        <w:drawing>
          <wp:inline distT="0" distB="0" distL="0" distR="0" wp14:anchorId="08E79859" wp14:editId="2B0F19FF">
            <wp:extent cx="4695824" cy="2406513"/>
            <wp:effectExtent l="0" t="0" r="0" b="0"/>
            <wp:docPr id="1011312300" name="Picture 101131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95824" cy="2406513"/>
                    </a:xfrm>
                    <a:prstGeom prst="rect">
                      <a:avLst/>
                    </a:prstGeom>
                  </pic:spPr>
                </pic:pic>
              </a:graphicData>
            </a:graphic>
          </wp:inline>
        </w:drawing>
      </w:r>
    </w:p>
    <w:p w14:paraId="13593761" w14:textId="2A2391B4" w:rsidR="4108CB2A" w:rsidRDefault="4108CB2A" w:rsidP="4108CB2A">
      <w:pPr>
        <w:rPr>
          <w:rFonts w:ascii="Aptos" w:eastAsia="Aptos" w:hAnsi="Aptos" w:cs="Aptos"/>
        </w:rPr>
      </w:pPr>
    </w:p>
    <w:p w14:paraId="2A164A96" w14:textId="691A2B0C" w:rsidR="37634FF5" w:rsidRDefault="37634FF5" w:rsidP="4108CB2A">
      <w:pPr>
        <w:rPr>
          <w:rFonts w:ascii="Aptos" w:eastAsia="Aptos" w:hAnsi="Aptos" w:cs="Aptos"/>
          <w:b/>
          <w:bCs/>
        </w:rPr>
      </w:pPr>
      <w:r w:rsidRPr="7AB69FBD">
        <w:rPr>
          <w:rFonts w:ascii="Aptos" w:eastAsia="Aptos" w:hAnsi="Aptos" w:cs="Aptos"/>
          <w:b/>
          <w:bCs/>
        </w:rPr>
        <w:t xml:space="preserve">Indicator 6: % of </w:t>
      </w:r>
      <w:r w:rsidR="5A1371C0" w:rsidRPr="7AB69FBD">
        <w:rPr>
          <w:rFonts w:ascii="Aptos" w:eastAsia="Aptos" w:hAnsi="Aptos" w:cs="Aptos"/>
          <w:b/>
          <w:bCs/>
        </w:rPr>
        <w:t>LGB+</w:t>
      </w:r>
      <w:r w:rsidRPr="7AB69FBD">
        <w:rPr>
          <w:rFonts w:ascii="Aptos" w:eastAsia="Aptos" w:hAnsi="Aptos" w:cs="Aptos"/>
          <w:b/>
          <w:bCs/>
        </w:rPr>
        <w:t xml:space="preserve"> colleagues who experienced, bullying, harassment or abuse at work from their managers compared with heterosexual colleagues.</w:t>
      </w:r>
    </w:p>
    <w:p w14:paraId="7DC35332" w14:textId="10F3F4DA" w:rsidR="5CE600B5" w:rsidRDefault="5CE600B5" w:rsidP="4108CB2A">
      <w:pPr>
        <w:rPr>
          <w:rFonts w:ascii="Aptos" w:eastAsia="Aptos" w:hAnsi="Aptos" w:cs="Aptos"/>
        </w:rPr>
      </w:pPr>
      <w:r w:rsidRPr="4108CB2A">
        <w:rPr>
          <w:rFonts w:ascii="Aptos" w:eastAsia="Aptos" w:hAnsi="Aptos" w:cs="Aptos"/>
        </w:rPr>
        <w:t>This metric has seen a rise, most notably for bisexual staff, whose experience of bullying, harassment or abuse at work from their managers has over doubled since last year.</w:t>
      </w:r>
    </w:p>
    <w:p w14:paraId="14E492AF" w14:textId="7A03F197" w:rsidR="5CE600B5" w:rsidRDefault="5CE600B5" w:rsidP="4108CB2A">
      <w:pPr>
        <w:rPr>
          <w:rFonts w:ascii="Aptos" w:eastAsia="Aptos" w:hAnsi="Aptos" w:cs="Aptos"/>
          <w:b/>
          <w:bCs/>
        </w:rPr>
      </w:pPr>
      <w:r w:rsidRPr="7AB69FBD">
        <w:rPr>
          <w:rFonts w:ascii="Aptos" w:eastAsia="Aptos" w:hAnsi="Aptos" w:cs="Aptos"/>
          <w:b/>
          <w:bCs/>
        </w:rPr>
        <w:t xml:space="preserve"> Indicator 7: % of </w:t>
      </w:r>
      <w:r w:rsidR="5A1371C0" w:rsidRPr="7AB69FBD">
        <w:rPr>
          <w:rFonts w:ascii="Aptos" w:eastAsia="Aptos" w:hAnsi="Aptos" w:cs="Aptos"/>
          <w:b/>
          <w:bCs/>
        </w:rPr>
        <w:t>LGB+</w:t>
      </w:r>
      <w:r w:rsidRPr="7AB69FBD">
        <w:rPr>
          <w:rFonts w:ascii="Aptos" w:eastAsia="Aptos" w:hAnsi="Aptos" w:cs="Aptos"/>
          <w:b/>
          <w:bCs/>
        </w:rPr>
        <w:t xml:space="preserve"> Colleagues who experienced bullying, harassment and abuse at work from other colleagues compared with heterosexual colleagues.</w:t>
      </w:r>
    </w:p>
    <w:p w14:paraId="1FCA316E" w14:textId="2C3D04B6" w:rsidR="52EF1F00" w:rsidRDefault="52EF1F00" w:rsidP="4108CB2A">
      <w:pPr>
        <w:rPr>
          <w:rFonts w:ascii="Aptos" w:eastAsia="Aptos" w:hAnsi="Aptos" w:cs="Aptos"/>
        </w:rPr>
      </w:pPr>
      <w:r w:rsidRPr="4108CB2A">
        <w:rPr>
          <w:rFonts w:ascii="Aptos" w:eastAsia="Aptos" w:hAnsi="Aptos" w:cs="Aptos"/>
        </w:rPr>
        <w:t>H</w:t>
      </w:r>
      <w:r w:rsidR="1A75D0D9" w:rsidRPr="4108CB2A">
        <w:rPr>
          <w:rFonts w:ascii="Aptos" w:eastAsia="Aptos" w:hAnsi="Aptos" w:cs="Aptos"/>
        </w:rPr>
        <w:t>eterosexual staff</w:t>
      </w:r>
      <w:r w:rsidR="623D223E" w:rsidRPr="4108CB2A">
        <w:rPr>
          <w:rFonts w:ascii="Aptos" w:eastAsia="Aptos" w:hAnsi="Aptos" w:cs="Aptos"/>
        </w:rPr>
        <w:t xml:space="preserve"> have experienced less bullying, harassment and abuse at work from other colleagues than the previous year. However</w:t>
      </w:r>
      <w:r w:rsidR="1A75D0D9" w:rsidRPr="4108CB2A">
        <w:rPr>
          <w:rFonts w:ascii="Aptos" w:eastAsia="Aptos" w:hAnsi="Aptos" w:cs="Aptos"/>
        </w:rPr>
        <w:t xml:space="preserve"> there has </w:t>
      </w:r>
      <w:r w:rsidR="5A46A91E" w:rsidRPr="4108CB2A">
        <w:rPr>
          <w:rFonts w:ascii="Aptos" w:eastAsia="Aptos" w:hAnsi="Aptos" w:cs="Aptos"/>
        </w:rPr>
        <w:t xml:space="preserve">been an increase </w:t>
      </w:r>
      <w:r w:rsidR="675ED437" w:rsidRPr="4108CB2A">
        <w:rPr>
          <w:rFonts w:ascii="Aptos" w:eastAsia="Aptos" w:hAnsi="Aptos" w:cs="Aptos"/>
        </w:rPr>
        <w:t>in these cases for gay/lesbian and bisexual staff.</w:t>
      </w:r>
    </w:p>
    <w:p w14:paraId="180B01DD" w14:textId="6E045FCA" w:rsidR="5CE600B5" w:rsidRDefault="5CE600B5" w:rsidP="4108CB2A">
      <w:pPr>
        <w:jc w:val="center"/>
        <w:rPr>
          <w:rFonts w:ascii="Aptos" w:eastAsia="Aptos" w:hAnsi="Aptos" w:cs="Aptos"/>
          <w:b/>
          <w:bCs/>
        </w:rPr>
      </w:pPr>
      <w:r>
        <w:rPr>
          <w:noProof/>
        </w:rPr>
        <w:lastRenderedPageBreak/>
        <w:drawing>
          <wp:inline distT="0" distB="0" distL="0" distR="0" wp14:anchorId="39C05F83" wp14:editId="05C3884C">
            <wp:extent cx="3828064" cy="3560604"/>
            <wp:effectExtent l="0" t="0" r="0" b="0"/>
            <wp:docPr id="915397762" name="Picture 91539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828064" cy="3560604"/>
                    </a:xfrm>
                    <a:prstGeom prst="rect">
                      <a:avLst/>
                    </a:prstGeom>
                  </pic:spPr>
                </pic:pic>
              </a:graphicData>
            </a:graphic>
          </wp:inline>
        </w:drawing>
      </w:r>
    </w:p>
    <w:p w14:paraId="5EA64EEC" w14:textId="5F24A146" w:rsidR="16A2A55E" w:rsidRDefault="16A2A55E" w:rsidP="4108CB2A">
      <w:pPr>
        <w:rPr>
          <w:rFonts w:ascii="Aptos" w:eastAsia="Aptos" w:hAnsi="Aptos" w:cs="Aptos"/>
          <w:b/>
          <w:bCs/>
        </w:rPr>
      </w:pPr>
      <w:r w:rsidRPr="4108CB2A">
        <w:rPr>
          <w:rFonts w:ascii="Aptos" w:eastAsia="Aptos" w:hAnsi="Aptos" w:cs="Aptos"/>
          <w:b/>
          <w:bCs/>
        </w:rPr>
        <w:t xml:space="preserve">Trans Colleague Experience </w:t>
      </w:r>
    </w:p>
    <w:p w14:paraId="61270CD4" w14:textId="5C81F824" w:rsidR="16A2A55E" w:rsidRDefault="16A2A55E" w:rsidP="4108CB2A">
      <w:pPr>
        <w:rPr>
          <w:rFonts w:ascii="Aptos" w:eastAsia="Aptos" w:hAnsi="Aptos" w:cs="Aptos"/>
        </w:rPr>
      </w:pPr>
      <w:r w:rsidRPr="7AB69FBD">
        <w:rPr>
          <w:rFonts w:ascii="Aptos" w:eastAsia="Aptos" w:hAnsi="Aptos" w:cs="Aptos"/>
        </w:rPr>
        <w:t xml:space="preserve">It is important to us that we are taking steps to understand the experience of our trans and non-binary colleagues in our workplace. </w:t>
      </w:r>
      <w:r w:rsidR="3D4F2F19" w:rsidRPr="7AB69FBD">
        <w:rPr>
          <w:rFonts w:ascii="Aptos" w:eastAsia="Aptos" w:hAnsi="Aptos" w:cs="Aptos"/>
        </w:rPr>
        <w:t>W</w:t>
      </w:r>
      <w:r w:rsidRPr="7AB69FBD">
        <w:rPr>
          <w:rFonts w:ascii="Aptos" w:eastAsia="Aptos" w:hAnsi="Aptos" w:cs="Aptos"/>
        </w:rPr>
        <w:t xml:space="preserve">e have access to some data from the NHS Staff Survey from colleagues who are non-binary or choose to self-describe their gender identity. </w:t>
      </w:r>
      <w:r w:rsidR="16EEEF7E" w:rsidRPr="7AB69FBD">
        <w:rPr>
          <w:rFonts w:ascii="Aptos" w:eastAsia="Aptos" w:hAnsi="Aptos" w:cs="Aptos"/>
        </w:rPr>
        <w:t>However, u</w:t>
      </w:r>
      <w:r w:rsidRPr="7AB69FBD">
        <w:rPr>
          <w:rFonts w:ascii="Aptos" w:eastAsia="Aptos" w:hAnsi="Aptos" w:cs="Aptos"/>
        </w:rPr>
        <w:t>nfortunately, the number</w:t>
      </w:r>
      <w:r w:rsidR="27E46CC7" w:rsidRPr="7AB69FBD">
        <w:rPr>
          <w:rFonts w:ascii="Aptos" w:eastAsia="Aptos" w:hAnsi="Aptos" w:cs="Aptos"/>
        </w:rPr>
        <w:t xml:space="preserve"> </w:t>
      </w:r>
      <w:r w:rsidRPr="7AB69FBD">
        <w:rPr>
          <w:rFonts w:ascii="Aptos" w:eastAsia="Aptos" w:hAnsi="Aptos" w:cs="Aptos"/>
        </w:rPr>
        <w:t>of</w:t>
      </w:r>
      <w:r w:rsidR="13A367A8" w:rsidRPr="7AB69FBD">
        <w:rPr>
          <w:rFonts w:ascii="Aptos" w:eastAsia="Aptos" w:hAnsi="Aptos" w:cs="Aptos"/>
        </w:rPr>
        <w:t xml:space="preserve"> </w:t>
      </w:r>
      <w:r w:rsidRPr="7AB69FBD">
        <w:rPr>
          <w:rFonts w:ascii="Aptos" w:eastAsia="Aptos" w:hAnsi="Aptos" w:cs="Aptos"/>
        </w:rPr>
        <w:t xml:space="preserve">colleagues who told us that their gender identity was different from the one they were registered at birth was too small to report </w:t>
      </w:r>
      <w:r w:rsidR="7FEAC8A1" w:rsidRPr="7AB69FBD">
        <w:rPr>
          <w:rFonts w:ascii="Aptos" w:eastAsia="Aptos" w:hAnsi="Aptos" w:cs="Aptos"/>
        </w:rPr>
        <w:t xml:space="preserve">in 2023/24 </w:t>
      </w:r>
      <w:r w:rsidRPr="7AB69FBD">
        <w:rPr>
          <w:rFonts w:ascii="Aptos" w:eastAsia="Aptos" w:hAnsi="Aptos" w:cs="Aptos"/>
        </w:rPr>
        <w:t>(9 colleagues who answered the staff survey self-identified in this group and the suppression threshold is 1</w:t>
      </w:r>
      <w:r w:rsidR="3A445C72" w:rsidRPr="7AB69FBD">
        <w:rPr>
          <w:rFonts w:ascii="Aptos" w:eastAsia="Aptos" w:hAnsi="Aptos" w:cs="Aptos"/>
        </w:rPr>
        <w:t>0</w:t>
      </w:r>
      <w:r w:rsidRPr="7AB69FBD">
        <w:rPr>
          <w:rFonts w:ascii="Aptos" w:eastAsia="Aptos" w:hAnsi="Aptos" w:cs="Aptos"/>
        </w:rPr>
        <w:t>)</w:t>
      </w:r>
      <w:r w:rsidR="0FF2AFE1" w:rsidRPr="7AB69FBD">
        <w:rPr>
          <w:rFonts w:ascii="Aptos" w:eastAsia="Aptos" w:hAnsi="Aptos" w:cs="Aptos"/>
        </w:rPr>
        <w:t>. This year, the number was</w:t>
      </w:r>
      <w:r w:rsidR="73449917" w:rsidRPr="7AB69FBD">
        <w:rPr>
          <w:rFonts w:ascii="Aptos" w:eastAsia="Aptos" w:hAnsi="Aptos" w:cs="Aptos"/>
        </w:rPr>
        <w:t xml:space="preserve"> smaller at 6 colleagues.</w:t>
      </w:r>
    </w:p>
    <w:p w14:paraId="290E8C06" w14:textId="482EB41B" w:rsidR="4108CB2A" w:rsidRDefault="4108CB2A" w:rsidP="4108CB2A">
      <w:pPr>
        <w:rPr>
          <w:rFonts w:ascii="Aptos" w:eastAsia="Aptos" w:hAnsi="Aptos" w:cs="Aptos"/>
        </w:rPr>
      </w:pPr>
    </w:p>
    <w:p w14:paraId="38D611B4" w14:textId="5471DE2D" w:rsidR="16A2A55E" w:rsidRDefault="16A2A55E" w:rsidP="4108CB2A">
      <w:pPr>
        <w:rPr>
          <w:rFonts w:ascii="Aptos" w:eastAsia="Aptos" w:hAnsi="Aptos" w:cs="Aptos"/>
          <w:b/>
          <w:bCs/>
        </w:rPr>
      </w:pPr>
      <w:r w:rsidRPr="4108CB2A">
        <w:rPr>
          <w:rFonts w:ascii="Aptos" w:eastAsia="Aptos" w:hAnsi="Aptos" w:cs="Aptos"/>
          <w:b/>
          <w:bCs/>
        </w:rPr>
        <w:t>Conclusion</w:t>
      </w:r>
    </w:p>
    <w:p w14:paraId="20B718E2" w14:textId="43838B95" w:rsidR="36AD6318" w:rsidRDefault="36AD6318" w:rsidP="4108CB2A">
      <w:pPr>
        <w:rPr>
          <w:rFonts w:ascii="Aptos" w:eastAsia="Aptos" w:hAnsi="Aptos" w:cs="Aptos"/>
        </w:rPr>
      </w:pPr>
      <w:r w:rsidRPr="7AB69FBD">
        <w:rPr>
          <w:rFonts w:ascii="Aptos" w:eastAsia="Aptos" w:hAnsi="Aptos" w:cs="Aptos"/>
        </w:rPr>
        <w:t xml:space="preserve">The latest data highlight several key areas to prioritise to improve the experience of </w:t>
      </w:r>
      <w:r w:rsidR="5A1371C0" w:rsidRPr="7AB69FBD">
        <w:rPr>
          <w:rFonts w:ascii="Aptos" w:eastAsia="Aptos" w:hAnsi="Aptos" w:cs="Aptos"/>
        </w:rPr>
        <w:t>LGB+</w:t>
      </w:r>
      <w:r w:rsidRPr="7AB69FBD">
        <w:rPr>
          <w:rFonts w:ascii="Aptos" w:eastAsia="Aptos" w:hAnsi="Aptos" w:cs="Aptos"/>
        </w:rPr>
        <w:t xml:space="preserve"> colleagues at the Trust. Firstly, representation remains low</w:t>
      </w:r>
      <w:r w:rsidR="3FF11A8F" w:rsidRPr="7AB69FBD">
        <w:rPr>
          <w:rFonts w:ascii="Aptos" w:eastAsia="Aptos" w:hAnsi="Aptos" w:cs="Aptos"/>
        </w:rPr>
        <w:t xml:space="preserve"> at</w:t>
      </w:r>
      <w:r w:rsidRPr="7AB69FBD">
        <w:rPr>
          <w:rFonts w:ascii="Aptos" w:eastAsia="Aptos" w:hAnsi="Aptos" w:cs="Aptos"/>
        </w:rPr>
        <w:t xml:space="preserve"> only 2.45%</w:t>
      </w:r>
      <w:r w:rsidR="2F2E96A9" w:rsidRPr="7AB69FBD">
        <w:rPr>
          <w:rFonts w:ascii="Aptos" w:eastAsia="Aptos" w:hAnsi="Aptos" w:cs="Aptos"/>
        </w:rPr>
        <w:t xml:space="preserve">. There remains no visible </w:t>
      </w:r>
      <w:r w:rsidR="5A1371C0" w:rsidRPr="7AB69FBD">
        <w:rPr>
          <w:rFonts w:ascii="Aptos" w:eastAsia="Aptos" w:hAnsi="Aptos" w:cs="Aptos"/>
        </w:rPr>
        <w:t>LGB+</w:t>
      </w:r>
      <w:r w:rsidR="2F2E96A9" w:rsidRPr="7AB69FBD">
        <w:rPr>
          <w:rFonts w:ascii="Aptos" w:eastAsia="Aptos" w:hAnsi="Aptos" w:cs="Aptos"/>
        </w:rPr>
        <w:t xml:space="preserve"> representation on the voting Board. This indicates a need to focus on increasing representation at senior level</w:t>
      </w:r>
      <w:r w:rsidR="4B8DE531" w:rsidRPr="7AB69FBD">
        <w:rPr>
          <w:rFonts w:ascii="Aptos" w:eastAsia="Aptos" w:hAnsi="Aptos" w:cs="Aptos"/>
        </w:rPr>
        <w:t>s. Also, voluntary self-disclosure should continue to be encouraged.</w:t>
      </w:r>
    </w:p>
    <w:p w14:paraId="293EC2DD" w14:textId="225DC638" w:rsidR="4B8DE531" w:rsidRDefault="4B8DE531" w:rsidP="4108CB2A">
      <w:pPr>
        <w:rPr>
          <w:rFonts w:ascii="Aptos" w:eastAsia="Aptos" w:hAnsi="Aptos" w:cs="Aptos"/>
        </w:rPr>
      </w:pPr>
      <w:r w:rsidRPr="4108CB2A">
        <w:rPr>
          <w:rFonts w:ascii="Aptos" w:eastAsia="Aptos" w:hAnsi="Aptos" w:cs="Aptos"/>
        </w:rPr>
        <w:t>Recruitment practices appear equitable in terms of relative likelihood of appointment. Access to non-mandatory training and CPD has also improved. These positive trends should be sustained.</w:t>
      </w:r>
      <w:r w:rsidR="789187FF" w:rsidRPr="4108CB2A">
        <w:rPr>
          <w:rFonts w:ascii="Aptos" w:eastAsia="Aptos" w:hAnsi="Aptos" w:cs="Aptos"/>
        </w:rPr>
        <w:t xml:space="preserve"> No LGB+ colleagues entered the formal disciplinary process in the last two years.</w:t>
      </w:r>
    </w:p>
    <w:p w14:paraId="52AB6653" w14:textId="6477CE3F" w:rsidR="4B8DE531" w:rsidRDefault="4B8DE531" w:rsidP="4108CB2A">
      <w:pPr>
        <w:rPr>
          <w:rFonts w:ascii="Aptos" w:eastAsia="Aptos" w:hAnsi="Aptos" w:cs="Aptos"/>
        </w:rPr>
      </w:pPr>
      <w:r w:rsidRPr="7AB69FBD">
        <w:rPr>
          <w:rFonts w:ascii="Aptos" w:eastAsia="Aptos" w:hAnsi="Aptos" w:cs="Aptos"/>
        </w:rPr>
        <w:lastRenderedPageBreak/>
        <w:t xml:space="preserve">However, bullying, harassment and abuse remain significant and have worsened this year. </w:t>
      </w:r>
      <w:r w:rsidR="5A1371C0" w:rsidRPr="7AB69FBD">
        <w:rPr>
          <w:rFonts w:ascii="Aptos" w:eastAsia="Aptos" w:hAnsi="Aptos" w:cs="Aptos"/>
        </w:rPr>
        <w:t>LGB+</w:t>
      </w:r>
      <w:r w:rsidRPr="7AB69FBD">
        <w:rPr>
          <w:rFonts w:ascii="Aptos" w:eastAsia="Aptos" w:hAnsi="Aptos" w:cs="Aptos"/>
        </w:rPr>
        <w:t xml:space="preserve"> colleagues, particularly those identifying as bisexual </w:t>
      </w:r>
      <w:r w:rsidR="1E247F62" w:rsidRPr="7AB69FBD">
        <w:rPr>
          <w:rFonts w:ascii="Aptos" w:eastAsia="Aptos" w:hAnsi="Aptos" w:cs="Aptos"/>
        </w:rPr>
        <w:t>or gay/lesbian report disproportionately high levels of bullying from managers and colleagues. These figures demand urgent action, including reinforcing recently published zero-hate policy.</w:t>
      </w:r>
      <w:r w:rsidR="22432656" w:rsidRPr="7AB69FBD">
        <w:rPr>
          <w:rFonts w:ascii="Aptos" w:eastAsia="Aptos" w:hAnsi="Aptos" w:cs="Aptos"/>
        </w:rPr>
        <w:t xml:space="preserve"> Overall, the Trust should focus on improving </w:t>
      </w:r>
      <w:r w:rsidR="5A1371C0" w:rsidRPr="7AB69FBD">
        <w:rPr>
          <w:rFonts w:ascii="Aptos" w:eastAsia="Aptos" w:hAnsi="Aptos" w:cs="Aptos"/>
        </w:rPr>
        <w:t>LGB+</w:t>
      </w:r>
      <w:r w:rsidR="22432656" w:rsidRPr="7AB69FBD">
        <w:rPr>
          <w:rFonts w:ascii="Aptos" w:eastAsia="Aptos" w:hAnsi="Aptos" w:cs="Aptos"/>
        </w:rPr>
        <w:t xml:space="preserve"> visibility and representation in leadership, address bullying and harassment and encourage colleagues to feel safe in disclosing their identities.</w:t>
      </w:r>
      <w:r w:rsidR="327749A5" w:rsidRPr="7AB69FBD">
        <w:rPr>
          <w:rFonts w:ascii="Aptos" w:eastAsia="Aptos" w:hAnsi="Aptos" w:cs="Aptos"/>
        </w:rPr>
        <w:t xml:space="preserve"> See</w:t>
      </w:r>
      <w:r w:rsidR="22432656" w:rsidRPr="7AB69FBD">
        <w:rPr>
          <w:rFonts w:ascii="Aptos" w:eastAsia="Aptos" w:hAnsi="Aptos" w:cs="Aptos"/>
        </w:rPr>
        <w:t xml:space="preserve"> our detailed </w:t>
      </w:r>
      <w:r w:rsidR="5EC6FD6F" w:rsidRPr="7AB69FBD">
        <w:rPr>
          <w:rFonts w:ascii="Aptos" w:eastAsia="Aptos" w:hAnsi="Aptos" w:cs="Aptos"/>
        </w:rPr>
        <w:t>Action Plan</w:t>
      </w:r>
      <w:r w:rsidR="619B791F" w:rsidRPr="7AB69FBD">
        <w:rPr>
          <w:rFonts w:ascii="Aptos" w:eastAsia="Aptos" w:hAnsi="Aptos" w:cs="Aptos"/>
        </w:rPr>
        <w:t xml:space="preserve"> </w:t>
      </w:r>
      <w:r w:rsidR="5EC6FD6F" w:rsidRPr="7AB69FBD">
        <w:rPr>
          <w:rFonts w:ascii="Aptos" w:eastAsia="Aptos" w:hAnsi="Aptos" w:cs="Aptos"/>
        </w:rPr>
        <w:t>here:</w:t>
      </w:r>
    </w:p>
    <w:p w14:paraId="171ADBB9" w14:textId="77777777" w:rsidR="00D15DC4" w:rsidRDefault="00D15DC4" w:rsidP="00D15DC4">
      <w:pPr>
        <w:ind w:left="5040" w:firstLine="720"/>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46"/>
        <w:gridCol w:w="2246"/>
        <w:gridCol w:w="2246"/>
        <w:gridCol w:w="2246"/>
      </w:tblGrid>
      <w:tr w:rsidR="00D15DC4" w14:paraId="3C7442A1" w14:textId="77777777" w:rsidTr="00D77C65">
        <w:trPr>
          <w:trHeight w:val="300"/>
        </w:trPr>
        <w:tc>
          <w:tcPr>
            <w:tcW w:w="8984" w:type="dxa"/>
            <w:gridSpan w:val="4"/>
            <w:shd w:val="clear" w:color="auto" w:fill="0070C0"/>
            <w:tcMar>
              <w:left w:w="105" w:type="dxa"/>
              <w:right w:w="105" w:type="dxa"/>
            </w:tcMar>
          </w:tcPr>
          <w:p w14:paraId="7C6C0A84" w14:textId="77777777" w:rsidR="00D15DC4" w:rsidRDefault="00D15DC4" w:rsidP="00D77C65">
            <w:pPr>
              <w:rPr>
                <w:rFonts w:ascii="Arial Nova" w:eastAsia="Arial Nova" w:hAnsi="Arial Nova" w:cs="Arial Nova"/>
                <w:color w:val="FFFFFF" w:themeColor="background1"/>
              </w:rPr>
            </w:pPr>
            <w:r w:rsidRPr="5C6D0DC8">
              <w:rPr>
                <w:rFonts w:ascii="Arial Nova" w:eastAsia="Arial Nova" w:hAnsi="Arial Nova" w:cs="Arial Nova"/>
                <w:b/>
                <w:bCs/>
                <w:color w:val="FFFFFF" w:themeColor="background1"/>
              </w:rPr>
              <w:t>WSOES Action Plan 2025 - 2026</w:t>
            </w:r>
          </w:p>
          <w:p w14:paraId="57DC60A3" w14:textId="77777777" w:rsidR="00D15DC4" w:rsidRDefault="00D15DC4" w:rsidP="00D77C65">
            <w:pPr>
              <w:rPr>
                <w:rFonts w:ascii="Arial Nova" w:eastAsia="Arial Nova" w:hAnsi="Arial Nova" w:cs="Arial Nova"/>
              </w:rPr>
            </w:pPr>
          </w:p>
        </w:tc>
      </w:tr>
      <w:tr w:rsidR="00D15DC4" w14:paraId="02BB3A95" w14:textId="77777777" w:rsidTr="00D77C65">
        <w:trPr>
          <w:trHeight w:val="300"/>
        </w:trPr>
        <w:tc>
          <w:tcPr>
            <w:tcW w:w="2246" w:type="dxa"/>
            <w:tcMar>
              <w:left w:w="105" w:type="dxa"/>
              <w:right w:w="105" w:type="dxa"/>
            </w:tcMar>
          </w:tcPr>
          <w:p w14:paraId="532CE62A" w14:textId="77777777" w:rsidR="00D15DC4" w:rsidRDefault="00D15DC4" w:rsidP="00D77C65">
            <w:pPr>
              <w:rPr>
                <w:rFonts w:ascii="Arial Nova" w:eastAsia="Arial Nova" w:hAnsi="Arial Nova" w:cs="Arial Nova"/>
              </w:rPr>
            </w:pPr>
          </w:p>
          <w:p w14:paraId="7C86C4A0" w14:textId="77777777" w:rsidR="00D15DC4" w:rsidRDefault="00D15DC4" w:rsidP="00D77C65">
            <w:pPr>
              <w:rPr>
                <w:rFonts w:ascii="Arial Nova" w:eastAsia="Arial Nova" w:hAnsi="Arial Nova" w:cs="Arial Nova"/>
              </w:rPr>
            </w:pPr>
            <w:r w:rsidRPr="42B036A9">
              <w:rPr>
                <w:rFonts w:ascii="Arial Nova" w:eastAsia="Arial Nova" w:hAnsi="Arial Nova" w:cs="Arial Nova"/>
                <w:b/>
                <w:bCs/>
              </w:rPr>
              <w:t>Outcomes</w:t>
            </w:r>
          </w:p>
          <w:p w14:paraId="5932397E" w14:textId="77777777" w:rsidR="00D15DC4" w:rsidRDefault="00D15DC4" w:rsidP="00D77C65">
            <w:pPr>
              <w:rPr>
                <w:rFonts w:ascii="Arial Nova" w:eastAsia="Arial Nova" w:hAnsi="Arial Nova" w:cs="Arial Nova"/>
              </w:rPr>
            </w:pPr>
          </w:p>
        </w:tc>
        <w:tc>
          <w:tcPr>
            <w:tcW w:w="2246" w:type="dxa"/>
            <w:tcMar>
              <w:left w:w="105" w:type="dxa"/>
              <w:right w:w="105" w:type="dxa"/>
            </w:tcMar>
          </w:tcPr>
          <w:p w14:paraId="76D46AEA" w14:textId="77777777" w:rsidR="00D15DC4" w:rsidRDefault="00D15DC4" w:rsidP="00D77C65">
            <w:pPr>
              <w:rPr>
                <w:rFonts w:ascii="Arial Nova" w:eastAsia="Arial Nova" w:hAnsi="Arial Nova" w:cs="Arial Nova"/>
              </w:rPr>
            </w:pPr>
          </w:p>
          <w:p w14:paraId="4E169289" w14:textId="77777777" w:rsidR="00D15DC4" w:rsidRDefault="00D15DC4" w:rsidP="00D77C65">
            <w:pPr>
              <w:rPr>
                <w:rFonts w:ascii="Arial Nova" w:eastAsia="Arial Nova" w:hAnsi="Arial Nova" w:cs="Arial Nova"/>
              </w:rPr>
            </w:pPr>
            <w:r w:rsidRPr="42B036A9">
              <w:rPr>
                <w:rFonts w:ascii="Arial Nova" w:eastAsia="Arial Nova" w:hAnsi="Arial Nova" w:cs="Arial Nova"/>
                <w:b/>
                <w:bCs/>
              </w:rPr>
              <w:t>Actions</w:t>
            </w:r>
          </w:p>
        </w:tc>
        <w:tc>
          <w:tcPr>
            <w:tcW w:w="2246" w:type="dxa"/>
            <w:tcMar>
              <w:left w:w="105" w:type="dxa"/>
              <w:right w:w="105" w:type="dxa"/>
            </w:tcMar>
          </w:tcPr>
          <w:p w14:paraId="5300719A" w14:textId="77777777" w:rsidR="00D15DC4" w:rsidRDefault="00D15DC4" w:rsidP="00D77C65">
            <w:pPr>
              <w:rPr>
                <w:rFonts w:ascii="Arial Nova" w:eastAsia="Arial Nova" w:hAnsi="Arial Nova" w:cs="Arial Nova"/>
              </w:rPr>
            </w:pPr>
          </w:p>
          <w:p w14:paraId="531306FF" w14:textId="77777777" w:rsidR="00D15DC4" w:rsidRDefault="00D15DC4" w:rsidP="00D77C65">
            <w:pPr>
              <w:rPr>
                <w:rFonts w:ascii="Arial Nova" w:eastAsia="Arial Nova" w:hAnsi="Arial Nova" w:cs="Arial Nova"/>
              </w:rPr>
            </w:pPr>
            <w:r w:rsidRPr="42B036A9">
              <w:rPr>
                <w:rFonts w:ascii="Arial Nova" w:eastAsia="Arial Nova" w:hAnsi="Arial Nova" w:cs="Arial Nova"/>
                <w:b/>
                <w:bCs/>
              </w:rPr>
              <w:t>Leads</w:t>
            </w:r>
          </w:p>
        </w:tc>
        <w:tc>
          <w:tcPr>
            <w:tcW w:w="2246" w:type="dxa"/>
            <w:tcMar>
              <w:left w:w="105" w:type="dxa"/>
              <w:right w:w="105" w:type="dxa"/>
            </w:tcMar>
          </w:tcPr>
          <w:p w14:paraId="1C004D9D" w14:textId="77777777" w:rsidR="00D15DC4" w:rsidRDefault="00D15DC4" w:rsidP="00D77C65">
            <w:pPr>
              <w:rPr>
                <w:rFonts w:ascii="Arial Nova" w:eastAsia="Arial Nova" w:hAnsi="Arial Nova" w:cs="Arial Nova"/>
              </w:rPr>
            </w:pPr>
          </w:p>
          <w:p w14:paraId="52AE45DE" w14:textId="77777777" w:rsidR="00D15DC4" w:rsidRDefault="00D15DC4" w:rsidP="00D77C65">
            <w:pPr>
              <w:rPr>
                <w:rFonts w:ascii="Arial Nova" w:eastAsia="Arial Nova" w:hAnsi="Arial Nova" w:cs="Arial Nova"/>
              </w:rPr>
            </w:pPr>
            <w:r w:rsidRPr="42B036A9">
              <w:rPr>
                <w:rFonts w:ascii="Arial Nova" w:eastAsia="Arial Nova" w:hAnsi="Arial Nova" w:cs="Arial Nova"/>
                <w:b/>
                <w:bCs/>
              </w:rPr>
              <w:t>Timescale</w:t>
            </w:r>
          </w:p>
        </w:tc>
      </w:tr>
      <w:tr w:rsidR="00D15DC4" w14:paraId="7264E48F" w14:textId="77777777" w:rsidTr="00D77C65">
        <w:trPr>
          <w:trHeight w:val="300"/>
        </w:trPr>
        <w:tc>
          <w:tcPr>
            <w:tcW w:w="2246" w:type="dxa"/>
            <w:tcMar>
              <w:left w:w="105" w:type="dxa"/>
              <w:right w:w="105" w:type="dxa"/>
            </w:tcMar>
          </w:tcPr>
          <w:p w14:paraId="63C30CF1" w14:textId="77777777" w:rsidR="00D15DC4" w:rsidRDefault="00D15DC4" w:rsidP="00D77C65">
            <w:pPr>
              <w:rPr>
                <w:rFonts w:ascii="Arial Nova" w:eastAsia="Arial Nova" w:hAnsi="Arial Nova" w:cs="Arial Nova"/>
              </w:rPr>
            </w:pPr>
            <w:r w:rsidRPr="0822BC5D">
              <w:rPr>
                <w:rFonts w:ascii="Arial Nova" w:eastAsia="Arial Nova" w:hAnsi="Arial Nova" w:cs="Arial Nova"/>
              </w:rPr>
              <w:t>Our trans and non-binary colleagues feel a greater sense of safety and belonging.</w:t>
            </w:r>
          </w:p>
        </w:tc>
        <w:tc>
          <w:tcPr>
            <w:tcW w:w="2246" w:type="dxa"/>
            <w:tcMar>
              <w:left w:w="105" w:type="dxa"/>
              <w:right w:w="105" w:type="dxa"/>
            </w:tcMar>
          </w:tcPr>
          <w:p w14:paraId="4CD456D7" w14:textId="77777777" w:rsidR="00D15DC4" w:rsidRDefault="00D15DC4" w:rsidP="00D77C65">
            <w:pPr>
              <w:pStyle w:val="ListParagraph"/>
              <w:numPr>
                <w:ilvl w:val="0"/>
                <w:numId w:val="6"/>
              </w:numPr>
              <w:rPr>
                <w:rFonts w:ascii="Arial Nova" w:eastAsia="Arial Nova" w:hAnsi="Arial Nova" w:cs="Arial Nova"/>
              </w:rPr>
            </w:pPr>
            <w:r w:rsidRPr="0822BC5D">
              <w:rPr>
                <w:rFonts w:ascii="Arial Nova" w:eastAsia="Arial Nova" w:hAnsi="Arial Nova" w:cs="Arial Nova"/>
              </w:rPr>
              <w:t>Continue to run support sessions following the Supreme Court Ruling on Gender.</w:t>
            </w:r>
          </w:p>
        </w:tc>
        <w:tc>
          <w:tcPr>
            <w:tcW w:w="2246" w:type="dxa"/>
            <w:tcMar>
              <w:left w:w="105" w:type="dxa"/>
              <w:right w:w="105" w:type="dxa"/>
            </w:tcMar>
          </w:tcPr>
          <w:p w14:paraId="0914460F" w14:textId="77777777" w:rsidR="00D15DC4" w:rsidRDefault="00D15DC4" w:rsidP="00D77C65">
            <w:pPr>
              <w:rPr>
                <w:rFonts w:ascii="Arial Nova" w:eastAsia="Arial Nova" w:hAnsi="Arial Nova" w:cs="Arial Nova"/>
              </w:rPr>
            </w:pPr>
          </w:p>
          <w:p w14:paraId="69D059A8" w14:textId="77777777" w:rsidR="00D15DC4" w:rsidRDefault="00D15DC4" w:rsidP="00D77C65">
            <w:pPr>
              <w:rPr>
                <w:rFonts w:ascii="Arial Nova" w:eastAsia="Arial Nova" w:hAnsi="Arial Nova" w:cs="Arial Nova"/>
              </w:rPr>
            </w:pPr>
            <w:r w:rsidRPr="6FAEDB5B">
              <w:rPr>
                <w:rFonts w:ascii="Arial Nova" w:eastAsia="Arial Nova" w:hAnsi="Arial Nova" w:cs="Arial Nova"/>
              </w:rPr>
              <w:t>Respect and Civility Lead/Strategic EDI Lead</w:t>
            </w:r>
          </w:p>
        </w:tc>
        <w:tc>
          <w:tcPr>
            <w:tcW w:w="2246" w:type="dxa"/>
            <w:tcMar>
              <w:left w:w="105" w:type="dxa"/>
              <w:right w:w="105" w:type="dxa"/>
            </w:tcMar>
          </w:tcPr>
          <w:p w14:paraId="790C6250" w14:textId="77777777" w:rsidR="00D15DC4" w:rsidRDefault="00D15DC4" w:rsidP="00D77C65">
            <w:pPr>
              <w:rPr>
                <w:rFonts w:ascii="Arial Nova" w:eastAsia="Arial Nova" w:hAnsi="Arial Nova" w:cs="Arial Nova"/>
              </w:rPr>
            </w:pPr>
          </w:p>
          <w:p w14:paraId="6B24808F" w14:textId="77777777" w:rsidR="00D15DC4" w:rsidRDefault="00D15DC4" w:rsidP="00D77C65">
            <w:pPr>
              <w:rPr>
                <w:rFonts w:ascii="Arial Nova" w:eastAsia="Arial Nova" w:hAnsi="Arial Nova" w:cs="Arial Nova"/>
              </w:rPr>
            </w:pPr>
            <w:r w:rsidRPr="0822BC5D">
              <w:rPr>
                <w:rFonts w:ascii="Arial Nova" w:eastAsia="Arial Nova" w:hAnsi="Arial Nova" w:cs="Arial Nova"/>
              </w:rPr>
              <w:t>Ongoing</w:t>
            </w:r>
          </w:p>
        </w:tc>
      </w:tr>
      <w:tr w:rsidR="00D15DC4" w14:paraId="27D83567" w14:textId="77777777" w:rsidTr="00D77C65">
        <w:trPr>
          <w:trHeight w:val="300"/>
        </w:trPr>
        <w:tc>
          <w:tcPr>
            <w:tcW w:w="2246" w:type="dxa"/>
            <w:tcMar>
              <w:left w:w="105" w:type="dxa"/>
              <w:right w:w="105" w:type="dxa"/>
            </w:tcMar>
          </w:tcPr>
          <w:p w14:paraId="23A13078" w14:textId="77777777" w:rsidR="00D15DC4" w:rsidRDefault="00D15DC4" w:rsidP="00D77C65">
            <w:pPr>
              <w:rPr>
                <w:rFonts w:ascii="Arial Nova" w:eastAsia="Arial Nova" w:hAnsi="Arial Nova" w:cs="Arial Nova"/>
              </w:rPr>
            </w:pPr>
            <w:r w:rsidRPr="0822BC5D">
              <w:rPr>
                <w:rFonts w:ascii="Arial Nova" w:eastAsia="Arial Nova" w:hAnsi="Arial Nova" w:cs="Arial Nova"/>
              </w:rPr>
              <w:t>Consider becoming a member of Stonewall again to access more in-depth specialist matter expertise and gain equality index status.</w:t>
            </w:r>
          </w:p>
        </w:tc>
        <w:tc>
          <w:tcPr>
            <w:tcW w:w="2246" w:type="dxa"/>
            <w:tcMar>
              <w:left w:w="105" w:type="dxa"/>
              <w:right w:w="105" w:type="dxa"/>
            </w:tcMar>
          </w:tcPr>
          <w:p w14:paraId="79CD426F" w14:textId="77777777" w:rsidR="00D15DC4" w:rsidRDefault="00D15DC4" w:rsidP="00D77C65">
            <w:pPr>
              <w:pStyle w:val="ListParagraph"/>
              <w:numPr>
                <w:ilvl w:val="0"/>
                <w:numId w:val="3"/>
              </w:numPr>
              <w:rPr>
                <w:rFonts w:ascii="Arial Nova" w:eastAsia="Arial Nova" w:hAnsi="Arial Nova" w:cs="Arial Nova"/>
              </w:rPr>
            </w:pPr>
            <w:r w:rsidRPr="0822BC5D">
              <w:rPr>
                <w:rFonts w:ascii="Arial Nova" w:eastAsia="Arial Nova" w:hAnsi="Arial Nova" w:cs="Arial Nova"/>
              </w:rPr>
              <w:t>Measure the interest of this with the LGBT+ network and determine whether the budget is available.</w:t>
            </w:r>
          </w:p>
        </w:tc>
        <w:tc>
          <w:tcPr>
            <w:tcW w:w="2246" w:type="dxa"/>
            <w:tcMar>
              <w:left w:w="105" w:type="dxa"/>
              <w:right w:w="105" w:type="dxa"/>
            </w:tcMar>
          </w:tcPr>
          <w:p w14:paraId="527A8A2B" w14:textId="77777777" w:rsidR="00D15DC4" w:rsidRDefault="00D15DC4" w:rsidP="00D77C65">
            <w:pPr>
              <w:rPr>
                <w:rFonts w:ascii="Arial Nova" w:eastAsia="Arial Nova" w:hAnsi="Arial Nova" w:cs="Arial Nova"/>
              </w:rPr>
            </w:pPr>
          </w:p>
          <w:p w14:paraId="4213788D" w14:textId="77777777" w:rsidR="00D15DC4" w:rsidRDefault="00D15DC4" w:rsidP="00D77C65">
            <w:pPr>
              <w:rPr>
                <w:rFonts w:ascii="Arial Nova" w:eastAsia="Arial Nova" w:hAnsi="Arial Nova" w:cs="Arial Nova"/>
              </w:rPr>
            </w:pPr>
          </w:p>
          <w:p w14:paraId="00048667" w14:textId="77777777" w:rsidR="00D15DC4" w:rsidRDefault="00D15DC4" w:rsidP="00D77C65">
            <w:pPr>
              <w:rPr>
                <w:rFonts w:ascii="Arial Nova" w:eastAsia="Arial Nova" w:hAnsi="Arial Nova" w:cs="Arial Nova"/>
              </w:rPr>
            </w:pPr>
          </w:p>
          <w:p w14:paraId="48A4D457" w14:textId="77777777" w:rsidR="00D15DC4" w:rsidRDefault="00D15DC4" w:rsidP="00D77C65">
            <w:r w:rsidRPr="0822BC5D">
              <w:rPr>
                <w:rFonts w:ascii="Arial Nova" w:eastAsia="Arial Nova" w:hAnsi="Arial Nova" w:cs="Arial Nova"/>
              </w:rPr>
              <w:t>Strategic EDI Lead</w:t>
            </w:r>
          </w:p>
        </w:tc>
        <w:tc>
          <w:tcPr>
            <w:tcW w:w="2246" w:type="dxa"/>
            <w:tcMar>
              <w:left w:w="105" w:type="dxa"/>
              <w:right w:w="105" w:type="dxa"/>
            </w:tcMar>
          </w:tcPr>
          <w:p w14:paraId="7672ECEA" w14:textId="77777777" w:rsidR="00D15DC4" w:rsidRDefault="00D15DC4" w:rsidP="00D77C65">
            <w:pPr>
              <w:rPr>
                <w:rFonts w:ascii="Arial Nova" w:eastAsia="Arial Nova" w:hAnsi="Arial Nova" w:cs="Arial Nova"/>
              </w:rPr>
            </w:pPr>
          </w:p>
          <w:p w14:paraId="31F7B682" w14:textId="77777777" w:rsidR="00D15DC4" w:rsidRDefault="00D15DC4" w:rsidP="00D77C65">
            <w:pPr>
              <w:rPr>
                <w:rFonts w:ascii="Arial Nova" w:eastAsia="Arial Nova" w:hAnsi="Arial Nova" w:cs="Arial Nova"/>
              </w:rPr>
            </w:pPr>
          </w:p>
          <w:p w14:paraId="0721697B" w14:textId="77777777" w:rsidR="00D15DC4" w:rsidRDefault="00D15DC4" w:rsidP="00D77C65">
            <w:pPr>
              <w:rPr>
                <w:rFonts w:ascii="Arial Nova" w:eastAsia="Arial Nova" w:hAnsi="Arial Nova" w:cs="Arial Nova"/>
              </w:rPr>
            </w:pPr>
            <w:r w:rsidRPr="0822BC5D">
              <w:rPr>
                <w:rFonts w:ascii="Arial Nova" w:eastAsia="Arial Nova" w:hAnsi="Arial Nova" w:cs="Arial Nova"/>
              </w:rPr>
              <w:t>September 2025</w:t>
            </w:r>
          </w:p>
        </w:tc>
      </w:tr>
      <w:tr w:rsidR="00D15DC4" w14:paraId="32F96917" w14:textId="77777777" w:rsidTr="00D77C65">
        <w:trPr>
          <w:trHeight w:val="300"/>
        </w:trPr>
        <w:tc>
          <w:tcPr>
            <w:tcW w:w="2246" w:type="dxa"/>
            <w:tcMar>
              <w:left w:w="105" w:type="dxa"/>
              <w:right w:w="105" w:type="dxa"/>
            </w:tcMar>
          </w:tcPr>
          <w:p w14:paraId="2C858038" w14:textId="77777777" w:rsidR="00D15DC4" w:rsidRDefault="00D15DC4" w:rsidP="00D77C65">
            <w:pPr>
              <w:rPr>
                <w:rFonts w:ascii="Arial Nova" w:eastAsia="Arial Nova" w:hAnsi="Arial Nova" w:cs="Arial Nova"/>
              </w:rPr>
            </w:pPr>
            <w:r w:rsidRPr="0822BC5D">
              <w:rPr>
                <w:rFonts w:ascii="Arial Nova" w:eastAsia="Arial Nova" w:hAnsi="Arial Nova" w:cs="Arial Nova"/>
              </w:rPr>
              <w:t>Increased awareness of our LGBTQ+ training offer. Managers equipped with a greater awareness of LGBTQ+ issues.</w:t>
            </w:r>
          </w:p>
          <w:p w14:paraId="1894A8FB" w14:textId="77777777" w:rsidR="00D15DC4" w:rsidRDefault="00D15DC4" w:rsidP="00D77C65">
            <w:pPr>
              <w:rPr>
                <w:rFonts w:ascii="Arial Nova" w:eastAsia="Arial Nova" w:hAnsi="Arial Nova" w:cs="Arial Nova"/>
              </w:rPr>
            </w:pPr>
          </w:p>
          <w:p w14:paraId="1A236759" w14:textId="77777777" w:rsidR="00D15DC4" w:rsidRDefault="00D15DC4" w:rsidP="00D77C65">
            <w:pPr>
              <w:rPr>
                <w:rFonts w:ascii="Arial Nova" w:eastAsia="Arial Nova" w:hAnsi="Arial Nova" w:cs="Arial Nova"/>
              </w:rPr>
            </w:pPr>
          </w:p>
        </w:tc>
        <w:tc>
          <w:tcPr>
            <w:tcW w:w="2246" w:type="dxa"/>
            <w:tcMar>
              <w:left w:w="105" w:type="dxa"/>
              <w:right w:w="105" w:type="dxa"/>
            </w:tcMar>
          </w:tcPr>
          <w:p w14:paraId="5B4083B8" w14:textId="77777777" w:rsidR="00D15DC4" w:rsidRDefault="00D15DC4" w:rsidP="00D77C65">
            <w:pPr>
              <w:rPr>
                <w:rFonts w:ascii="Arial Nova" w:eastAsia="Arial Nova" w:hAnsi="Arial Nova" w:cs="Arial Nova"/>
              </w:rPr>
            </w:pPr>
          </w:p>
          <w:p w14:paraId="550A0122" w14:textId="77777777" w:rsidR="00D15DC4" w:rsidRDefault="00D15DC4" w:rsidP="00D77C65">
            <w:pPr>
              <w:pStyle w:val="ListParagraph"/>
              <w:numPr>
                <w:ilvl w:val="0"/>
                <w:numId w:val="5"/>
              </w:numPr>
              <w:rPr>
                <w:rFonts w:ascii="Arial Nova" w:eastAsia="Arial Nova" w:hAnsi="Arial Nova" w:cs="Arial Nova"/>
              </w:rPr>
            </w:pPr>
            <w:r w:rsidRPr="07DD86F9">
              <w:rPr>
                <w:rFonts w:ascii="Arial Nova" w:eastAsia="Arial Nova" w:hAnsi="Arial Nova" w:cs="Arial Nova"/>
              </w:rPr>
              <w:t>Utilise events such as Pride Month and LGBTQ+ History Month to promote our training offer through multiple channels.</w:t>
            </w:r>
          </w:p>
        </w:tc>
        <w:tc>
          <w:tcPr>
            <w:tcW w:w="2246" w:type="dxa"/>
            <w:tcMar>
              <w:left w:w="105" w:type="dxa"/>
              <w:right w:w="105" w:type="dxa"/>
            </w:tcMar>
          </w:tcPr>
          <w:p w14:paraId="7BDA66A4" w14:textId="77777777" w:rsidR="00D15DC4" w:rsidRDefault="00D15DC4" w:rsidP="00D77C65">
            <w:pPr>
              <w:rPr>
                <w:rFonts w:ascii="Arial Nova" w:eastAsia="Arial Nova" w:hAnsi="Arial Nova" w:cs="Arial Nova"/>
              </w:rPr>
            </w:pPr>
          </w:p>
          <w:p w14:paraId="04A093FF" w14:textId="77777777" w:rsidR="00D15DC4" w:rsidRDefault="00D15DC4" w:rsidP="00D77C65">
            <w:pPr>
              <w:rPr>
                <w:rFonts w:ascii="Arial Nova" w:eastAsia="Arial Nova" w:hAnsi="Arial Nova" w:cs="Arial Nova"/>
              </w:rPr>
            </w:pPr>
            <w:r w:rsidRPr="1F713DBF">
              <w:rPr>
                <w:rFonts w:ascii="Arial Nova" w:eastAsia="Arial Nova" w:hAnsi="Arial Nova" w:cs="Arial Nova"/>
              </w:rPr>
              <w:t>Strategic EDI Lead/Respect and Civility Lead</w:t>
            </w:r>
          </w:p>
        </w:tc>
        <w:tc>
          <w:tcPr>
            <w:tcW w:w="2246" w:type="dxa"/>
            <w:tcMar>
              <w:left w:w="105" w:type="dxa"/>
              <w:right w:w="105" w:type="dxa"/>
            </w:tcMar>
          </w:tcPr>
          <w:p w14:paraId="1F5A5F34" w14:textId="77777777" w:rsidR="00D15DC4" w:rsidRDefault="00D15DC4" w:rsidP="00D77C65">
            <w:pPr>
              <w:rPr>
                <w:rFonts w:ascii="Arial Nova" w:eastAsia="Arial Nova" w:hAnsi="Arial Nova" w:cs="Arial Nova"/>
              </w:rPr>
            </w:pPr>
          </w:p>
          <w:p w14:paraId="6902FEE4" w14:textId="77777777" w:rsidR="00D15DC4" w:rsidRDefault="00D15DC4" w:rsidP="00D77C65">
            <w:pPr>
              <w:rPr>
                <w:rFonts w:ascii="Arial Nova" w:eastAsia="Arial Nova" w:hAnsi="Arial Nova" w:cs="Arial Nova"/>
              </w:rPr>
            </w:pPr>
            <w:r w:rsidRPr="07DD86F9">
              <w:rPr>
                <w:rFonts w:ascii="Arial Nova" w:eastAsia="Arial Nova" w:hAnsi="Arial Nova" w:cs="Arial Nova"/>
              </w:rPr>
              <w:t>December 2025</w:t>
            </w:r>
          </w:p>
        </w:tc>
      </w:tr>
      <w:tr w:rsidR="00D15DC4" w14:paraId="39CA5137" w14:textId="77777777" w:rsidTr="00D77C65">
        <w:trPr>
          <w:trHeight w:val="300"/>
        </w:trPr>
        <w:tc>
          <w:tcPr>
            <w:tcW w:w="2246" w:type="dxa"/>
            <w:tcMar>
              <w:left w:w="105" w:type="dxa"/>
              <w:right w:w="105" w:type="dxa"/>
            </w:tcMar>
          </w:tcPr>
          <w:p w14:paraId="25415F4A" w14:textId="77777777" w:rsidR="00D15DC4" w:rsidRDefault="00D15DC4" w:rsidP="00D77C65">
            <w:pPr>
              <w:rPr>
                <w:rFonts w:ascii="Arial Nova" w:eastAsia="Arial Nova" w:hAnsi="Arial Nova" w:cs="Arial Nova"/>
              </w:rPr>
            </w:pPr>
            <w:r w:rsidRPr="0822BC5D">
              <w:rPr>
                <w:rFonts w:ascii="Arial Nova" w:eastAsia="Arial Nova" w:hAnsi="Arial Nova" w:cs="Arial Nova"/>
              </w:rPr>
              <w:lastRenderedPageBreak/>
              <w:t>Aim to increase NHS Rainbow Badge Scheme, including purchasing new badges</w:t>
            </w:r>
          </w:p>
        </w:tc>
        <w:tc>
          <w:tcPr>
            <w:tcW w:w="2246" w:type="dxa"/>
            <w:tcMar>
              <w:left w:w="105" w:type="dxa"/>
              <w:right w:w="105" w:type="dxa"/>
            </w:tcMar>
          </w:tcPr>
          <w:p w14:paraId="57F15BBE" w14:textId="77777777" w:rsidR="00D15DC4" w:rsidRDefault="00D15DC4" w:rsidP="00D77C65">
            <w:pPr>
              <w:pStyle w:val="ListParagraph"/>
              <w:numPr>
                <w:ilvl w:val="0"/>
                <w:numId w:val="2"/>
              </w:numPr>
              <w:rPr>
                <w:rFonts w:ascii="Arial Nova" w:eastAsia="Arial Nova" w:hAnsi="Arial Nova" w:cs="Arial Nova"/>
              </w:rPr>
            </w:pPr>
            <w:r w:rsidRPr="0822BC5D">
              <w:rPr>
                <w:rFonts w:ascii="Arial Nova" w:eastAsia="Arial Nova" w:hAnsi="Arial Nova" w:cs="Arial Nova"/>
              </w:rPr>
              <w:t>Explore funding for the purchasing of new badges.</w:t>
            </w:r>
          </w:p>
        </w:tc>
        <w:tc>
          <w:tcPr>
            <w:tcW w:w="2246" w:type="dxa"/>
            <w:tcMar>
              <w:left w:w="105" w:type="dxa"/>
              <w:right w:w="105" w:type="dxa"/>
            </w:tcMar>
          </w:tcPr>
          <w:p w14:paraId="61597B43" w14:textId="77777777" w:rsidR="00D15DC4" w:rsidRDefault="00D15DC4" w:rsidP="00D77C65">
            <w:pPr>
              <w:rPr>
                <w:rFonts w:ascii="Arial Nova" w:eastAsia="Arial Nova" w:hAnsi="Arial Nova" w:cs="Arial Nova"/>
              </w:rPr>
            </w:pPr>
          </w:p>
          <w:p w14:paraId="40DAA11E" w14:textId="77777777" w:rsidR="00D15DC4" w:rsidRDefault="00D15DC4" w:rsidP="00D77C65">
            <w:pPr>
              <w:rPr>
                <w:rFonts w:ascii="Arial Nova" w:eastAsia="Arial Nova" w:hAnsi="Arial Nova" w:cs="Arial Nova"/>
              </w:rPr>
            </w:pPr>
          </w:p>
          <w:p w14:paraId="1E63C555" w14:textId="77777777" w:rsidR="00D15DC4" w:rsidRDefault="00D15DC4" w:rsidP="00D77C65">
            <w:r w:rsidRPr="0822BC5D">
              <w:rPr>
                <w:rFonts w:ascii="Arial Nova" w:eastAsia="Arial Nova" w:hAnsi="Arial Nova" w:cs="Arial Nova"/>
              </w:rPr>
              <w:t>Strategic EDI Lead</w:t>
            </w:r>
          </w:p>
        </w:tc>
        <w:tc>
          <w:tcPr>
            <w:tcW w:w="2246" w:type="dxa"/>
            <w:tcMar>
              <w:left w:w="105" w:type="dxa"/>
              <w:right w:w="105" w:type="dxa"/>
            </w:tcMar>
          </w:tcPr>
          <w:p w14:paraId="749601A7" w14:textId="77777777" w:rsidR="00D15DC4" w:rsidRDefault="00D15DC4" w:rsidP="00D77C65">
            <w:pPr>
              <w:rPr>
                <w:rFonts w:ascii="Arial Nova" w:eastAsia="Arial Nova" w:hAnsi="Arial Nova" w:cs="Arial Nova"/>
              </w:rPr>
            </w:pPr>
            <w:r w:rsidRPr="0822BC5D">
              <w:rPr>
                <w:rFonts w:ascii="Arial Nova" w:eastAsia="Arial Nova" w:hAnsi="Arial Nova" w:cs="Arial Nova"/>
              </w:rPr>
              <w:t xml:space="preserve"> December 2025</w:t>
            </w:r>
          </w:p>
        </w:tc>
      </w:tr>
      <w:tr w:rsidR="00D15DC4" w14:paraId="287FBA4E" w14:textId="77777777" w:rsidTr="00D77C65">
        <w:trPr>
          <w:trHeight w:val="300"/>
        </w:trPr>
        <w:tc>
          <w:tcPr>
            <w:tcW w:w="2246" w:type="dxa"/>
            <w:tcMar>
              <w:left w:w="105" w:type="dxa"/>
              <w:right w:w="105" w:type="dxa"/>
            </w:tcMar>
          </w:tcPr>
          <w:p w14:paraId="219A740A" w14:textId="77777777" w:rsidR="00D15DC4" w:rsidRDefault="00D15DC4" w:rsidP="00D77C65">
            <w:pPr>
              <w:rPr>
                <w:rFonts w:ascii="Arial Nova" w:eastAsia="Arial Nova" w:hAnsi="Arial Nova" w:cs="Arial Nova"/>
              </w:rPr>
            </w:pPr>
            <w:r w:rsidRPr="5C6D0DC8">
              <w:rPr>
                <w:rFonts w:ascii="Arial Nova" w:eastAsia="Arial Nova" w:hAnsi="Arial Nova" w:cs="Arial Nova"/>
              </w:rPr>
              <w:t>Higher rates of declaration on ESR, less ‘prefer not to say’.</w:t>
            </w:r>
          </w:p>
        </w:tc>
        <w:tc>
          <w:tcPr>
            <w:tcW w:w="2246" w:type="dxa"/>
            <w:tcMar>
              <w:left w:w="105" w:type="dxa"/>
              <w:right w:w="105" w:type="dxa"/>
            </w:tcMar>
          </w:tcPr>
          <w:p w14:paraId="3D625AEE" w14:textId="77777777" w:rsidR="00D15DC4" w:rsidRDefault="00D15DC4" w:rsidP="00D77C65">
            <w:pPr>
              <w:pStyle w:val="ListParagraph"/>
              <w:numPr>
                <w:ilvl w:val="0"/>
                <w:numId w:val="4"/>
              </w:numPr>
              <w:rPr>
                <w:rFonts w:ascii="Arial Nova" w:eastAsia="Arial Nova" w:hAnsi="Arial Nova" w:cs="Arial Nova"/>
              </w:rPr>
            </w:pPr>
            <w:r w:rsidRPr="07DD86F9">
              <w:rPr>
                <w:rFonts w:ascii="Arial Nova" w:eastAsia="Arial Nova" w:hAnsi="Arial Nova" w:cs="Arial Nova"/>
              </w:rPr>
              <w:t>Launch an ESR declarations campaign and encourage declarations throughout the year.</w:t>
            </w:r>
          </w:p>
        </w:tc>
        <w:tc>
          <w:tcPr>
            <w:tcW w:w="2246" w:type="dxa"/>
            <w:tcMar>
              <w:left w:w="105" w:type="dxa"/>
              <w:right w:w="105" w:type="dxa"/>
            </w:tcMar>
          </w:tcPr>
          <w:p w14:paraId="01473841" w14:textId="77777777" w:rsidR="00D15DC4" w:rsidRDefault="00D15DC4" w:rsidP="00D77C65">
            <w:pPr>
              <w:rPr>
                <w:rFonts w:ascii="Arial Nova" w:eastAsia="Arial Nova" w:hAnsi="Arial Nova" w:cs="Arial Nova"/>
              </w:rPr>
            </w:pPr>
          </w:p>
          <w:p w14:paraId="2445B649" w14:textId="77777777" w:rsidR="00D15DC4" w:rsidRDefault="00D15DC4" w:rsidP="00D77C65">
            <w:r w:rsidRPr="07DD86F9">
              <w:rPr>
                <w:rFonts w:ascii="Arial Nova" w:eastAsia="Arial Nova" w:hAnsi="Arial Nova" w:cs="Arial Nova"/>
              </w:rPr>
              <w:t>Inclusion Team</w:t>
            </w:r>
          </w:p>
        </w:tc>
        <w:tc>
          <w:tcPr>
            <w:tcW w:w="2246" w:type="dxa"/>
            <w:tcMar>
              <w:left w:w="105" w:type="dxa"/>
              <w:right w:w="105" w:type="dxa"/>
            </w:tcMar>
          </w:tcPr>
          <w:p w14:paraId="216EC97E" w14:textId="77777777" w:rsidR="00D15DC4" w:rsidRDefault="00D15DC4" w:rsidP="00D77C65">
            <w:pPr>
              <w:rPr>
                <w:rFonts w:ascii="Arial Nova" w:eastAsia="Arial Nova" w:hAnsi="Arial Nova" w:cs="Arial Nova"/>
              </w:rPr>
            </w:pPr>
          </w:p>
          <w:p w14:paraId="3234A3E1" w14:textId="77777777" w:rsidR="00D15DC4" w:rsidRDefault="00D15DC4" w:rsidP="00D77C65">
            <w:pPr>
              <w:rPr>
                <w:rFonts w:ascii="Arial Nova" w:eastAsia="Arial Nova" w:hAnsi="Arial Nova" w:cs="Arial Nova"/>
              </w:rPr>
            </w:pPr>
            <w:r w:rsidRPr="07DD86F9">
              <w:rPr>
                <w:rFonts w:ascii="Arial Nova" w:eastAsia="Arial Nova" w:hAnsi="Arial Nova" w:cs="Arial Nova"/>
              </w:rPr>
              <w:t>January 2026</w:t>
            </w:r>
          </w:p>
        </w:tc>
      </w:tr>
      <w:tr w:rsidR="00D15DC4" w14:paraId="7297C14A" w14:textId="77777777" w:rsidTr="00D77C65">
        <w:trPr>
          <w:trHeight w:val="300"/>
        </w:trPr>
        <w:tc>
          <w:tcPr>
            <w:tcW w:w="2246" w:type="dxa"/>
            <w:tcMar>
              <w:left w:w="105" w:type="dxa"/>
              <w:right w:w="105" w:type="dxa"/>
            </w:tcMar>
          </w:tcPr>
          <w:p w14:paraId="471B1013" w14:textId="77777777" w:rsidR="00D15DC4" w:rsidRDefault="00D15DC4" w:rsidP="00D77C65">
            <w:pPr>
              <w:rPr>
                <w:rFonts w:ascii="Arial Nova" w:eastAsia="Arial Nova" w:hAnsi="Arial Nova" w:cs="Arial Nova"/>
              </w:rPr>
            </w:pPr>
            <w:r w:rsidRPr="0822BC5D">
              <w:rPr>
                <w:rFonts w:ascii="Arial Nova" w:eastAsia="Arial Nova" w:hAnsi="Arial Nova" w:cs="Arial Nova"/>
              </w:rPr>
              <w:t>Reduction in discrimination due to sexual orientation.</w:t>
            </w:r>
          </w:p>
        </w:tc>
        <w:tc>
          <w:tcPr>
            <w:tcW w:w="2246" w:type="dxa"/>
            <w:tcMar>
              <w:left w:w="105" w:type="dxa"/>
              <w:right w:w="105" w:type="dxa"/>
            </w:tcMar>
          </w:tcPr>
          <w:p w14:paraId="744480E7" w14:textId="77777777" w:rsidR="00D15DC4" w:rsidRDefault="00D15DC4" w:rsidP="00D77C65">
            <w:pPr>
              <w:pStyle w:val="ListParagraph"/>
              <w:numPr>
                <w:ilvl w:val="0"/>
                <w:numId w:val="1"/>
              </w:numPr>
              <w:rPr>
                <w:rFonts w:ascii="Arial Nova" w:eastAsia="Arial Nova" w:hAnsi="Arial Nova" w:cs="Arial Nova"/>
              </w:rPr>
            </w:pPr>
            <w:r w:rsidRPr="0822BC5D">
              <w:rPr>
                <w:rFonts w:ascii="Arial Nova" w:eastAsia="Arial Nova" w:hAnsi="Arial Nova" w:cs="Arial Nova"/>
                <w:color w:val="000000" w:themeColor="text1"/>
              </w:rPr>
              <w:t>Increase civility at work worships. Increase manager and leaders' awareness through PMDP/Leadership induction. Promotion of Zero Hate Policy and Campaign. Monitoring of Zero Hate related incidents and reports to FTSUGs through Triangulation Group.</w:t>
            </w:r>
          </w:p>
        </w:tc>
        <w:tc>
          <w:tcPr>
            <w:tcW w:w="2246" w:type="dxa"/>
            <w:tcMar>
              <w:left w:w="105" w:type="dxa"/>
              <w:right w:w="105" w:type="dxa"/>
            </w:tcMar>
          </w:tcPr>
          <w:p w14:paraId="031217E8" w14:textId="77777777" w:rsidR="00D15DC4" w:rsidRDefault="00D15DC4" w:rsidP="00D77C65">
            <w:r w:rsidRPr="1F713DBF">
              <w:rPr>
                <w:rFonts w:ascii="Arial Nova" w:eastAsia="Arial Nova" w:hAnsi="Arial Nova" w:cs="Arial Nova"/>
              </w:rPr>
              <w:t>Strategic EDI Lead/Respect and Civility Lead</w:t>
            </w:r>
          </w:p>
        </w:tc>
        <w:tc>
          <w:tcPr>
            <w:tcW w:w="2246" w:type="dxa"/>
            <w:tcMar>
              <w:left w:w="105" w:type="dxa"/>
              <w:right w:w="105" w:type="dxa"/>
            </w:tcMar>
          </w:tcPr>
          <w:p w14:paraId="682BC7AA" w14:textId="77777777" w:rsidR="00D15DC4" w:rsidRDefault="00D15DC4" w:rsidP="00D77C65">
            <w:pPr>
              <w:rPr>
                <w:rFonts w:ascii="Arial Nova" w:eastAsia="Arial Nova" w:hAnsi="Arial Nova" w:cs="Arial Nova"/>
              </w:rPr>
            </w:pPr>
            <w:r w:rsidRPr="0822BC5D">
              <w:rPr>
                <w:rFonts w:ascii="Arial Nova" w:eastAsia="Arial Nova" w:hAnsi="Arial Nova" w:cs="Arial Nova"/>
              </w:rPr>
              <w:t>March 2026</w:t>
            </w:r>
          </w:p>
        </w:tc>
      </w:tr>
    </w:tbl>
    <w:p w14:paraId="42DF2061" w14:textId="77777777" w:rsidR="00D15DC4" w:rsidRDefault="00D15DC4" w:rsidP="00D15DC4">
      <w:pPr>
        <w:rPr>
          <w:rFonts w:ascii="Arial Nova" w:eastAsia="Arial Nova" w:hAnsi="Arial Nova" w:cs="Arial Nova"/>
          <w:color w:val="000000" w:themeColor="text1"/>
        </w:rPr>
      </w:pPr>
    </w:p>
    <w:p w14:paraId="04EA03AE" w14:textId="77777777" w:rsidR="00D15DC4" w:rsidRDefault="00D15DC4" w:rsidP="00D15DC4"/>
    <w:p w14:paraId="60EC21D8" w14:textId="7B0A9E09" w:rsidR="4108CB2A" w:rsidRDefault="4108CB2A" w:rsidP="4108CB2A">
      <w:pPr>
        <w:rPr>
          <w:rFonts w:ascii="Aptos" w:eastAsia="Aptos" w:hAnsi="Aptos" w:cs="Aptos"/>
          <w:b/>
          <w:bCs/>
        </w:rPr>
      </w:pPr>
    </w:p>
    <w:p w14:paraId="6E8CD23E" w14:textId="28A62111" w:rsidR="4108CB2A" w:rsidRDefault="4108CB2A"/>
    <w:p w14:paraId="2018FDAC" w14:textId="0391DB44" w:rsidR="4108CB2A" w:rsidRDefault="4108CB2A" w:rsidP="4108CB2A">
      <w:pPr>
        <w:rPr>
          <w:b/>
          <w:bCs/>
        </w:rPr>
      </w:pPr>
    </w:p>
    <w:sectPr w:rsidR="4108CB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11F2"/>
    <w:multiLevelType w:val="hybridMultilevel"/>
    <w:tmpl w:val="7C7ABF84"/>
    <w:lvl w:ilvl="0" w:tplc="A058EBB4">
      <w:start w:val="1"/>
      <w:numFmt w:val="bullet"/>
      <w:lvlText w:val=""/>
      <w:lvlJc w:val="left"/>
      <w:pPr>
        <w:ind w:left="720" w:hanging="360"/>
      </w:pPr>
      <w:rPr>
        <w:rFonts w:ascii="Symbol" w:hAnsi="Symbol" w:hint="default"/>
      </w:rPr>
    </w:lvl>
    <w:lvl w:ilvl="1" w:tplc="0E1A7FBA">
      <w:start w:val="1"/>
      <w:numFmt w:val="bullet"/>
      <w:lvlText w:val="o"/>
      <w:lvlJc w:val="left"/>
      <w:pPr>
        <w:ind w:left="1440" w:hanging="360"/>
      </w:pPr>
      <w:rPr>
        <w:rFonts w:ascii="Courier New" w:hAnsi="Courier New" w:hint="default"/>
      </w:rPr>
    </w:lvl>
    <w:lvl w:ilvl="2" w:tplc="77B49D1A">
      <w:start w:val="1"/>
      <w:numFmt w:val="bullet"/>
      <w:lvlText w:val=""/>
      <w:lvlJc w:val="left"/>
      <w:pPr>
        <w:ind w:left="2160" w:hanging="360"/>
      </w:pPr>
      <w:rPr>
        <w:rFonts w:ascii="Wingdings" w:hAnsi="Wingdings" w:hint="default"/>
      </w:rPr>
    </w:lvl>
    <w:lvl w:ilvl="3" w:tplc="85E87F2A">
      <w:start w:val="1"/>
      <w:numFmt w:val="bullet"/>
      <w:lvlText w:val=""/>
      <w:lvlJc w:val="left"/>
      <w:pPr>
        <w:ind w:left="2880" w:hanging="360"/>
      </w:pPr>
      <w:rPr>
        <w:rFonts w:ascii="Symbol" w:hAnsi="Symbol" w:hint="default"/>
      </w:rPr>
    </w:lvl>
    <w:lvl w:ilvl="4" w:tplc="EEB88EF6">
      <w:start w:val="1"/>
      <w:numFmt w:val="bullet"/>
      <w:lvlText w:val="o"/>
      <w:lvlJc w:val="left"/>
      <w:pPr>
        <w:ind w:left="3600" w:hanging="360"/>
      </w:pPr>
      <w:rPr>
        <w:rFonts w:ascii="Courier New" w:hAnsi="Courier New" w:hint="default"/>
      </w:rPr>
    </w:lvl>
    <w:lvl w:ilvl="5" w:tplc="15FA6342">
      <w:start w:val="1"/>
      <w:numFmt w:val="bullet"/>
      <w:lvlText w:val=""/>
      <w:lvlJc w:val="left"/>
      <w:pPr>
        <w:ind w:left="4320" w:hanging="360"/>
      </w:pPr>
      <w:rPr>
        <w:rFonts w:ascii="Wingdings" w:hAnsi="Wingdings" w:hint="default"/>
      </w:rPr>
    </w:lvl>
    <w:lvl w:ilvl="6" w:tplc="60645FF2">
      <w:start w:val="1"/>
      <w:numFmt w:val="bullet"/>
      <w:lvlText w:val=""/>
      <w:lvlJc w:val="left"/>
      <w:pPr>
        <w:ind w:left="5040" w:hanging="360"/>
      </w:pPr>
      <w:rPr>
        <w:rFonts w:ascii="Symbol" w:hAnsi="Symbol" w:hint="default"/>
      </w:rPr>
    </w:lvl>
    <w:lvl w:ilvl="7" w:tplc="28549C92">
      <w:start w:val="1"/>
      <w:numFmt w:val="bullet"/>
      <w:lvlText w:val="o"/>
      <w:lvlJc w:val="left"/>
      <w:pPr>
        <w:ind w:left="5760" w:hanging="360"/>
      </w:pPr>
      <w:rPr>
        <w:rFonts w:ascii="Courier New" w:hAnsi="Courier New" w:hint="default"/>
      </w:rPr>
    </w:lvl>
    <w:lvl w:ilvl="8" w:tplc="02860FEA">
      <w:start w:val="1"/>
      <w:numFmt w:val="bullet"/>
      <w:lvlText w:val=""/>
      <w:lvlJc w:val="left"/>
      <w:pPr>
        <w:ind w:left="6480" w:hanging="360"/>
      </w:pPr>
      <w:rPr>
        <w:rFonts w:ascii="Wingdings" w:hAnsi="Wingdings" w:hint="default"/>
      </w:rPr>
    </w:lvl>
  </w:abstractNum>
  <w:abstractNum w:abstractNumId="1" w15:restartNumberingAfterBreak="0">
    <w:nsid w:val="41BB2A5D"/>
    <w:multiLevelType w:val="hybridMultilevel"/>
    <w:tmpl w:val="950A255A"/>
    <w:lvl w:ilvl="0" w:tplc="689C850C">
      <w:start w:val="1"/>
      <w:numFmt w:val="bullet"/>
      <w:lvlText w:val=""/>
      <w:lvlJc w:val="left"/>
      <w:pPr>
        <w:ind w:left="720" w:hanging="360"/>
      </w:pPr>
      <w:rPr>
        <w:rFonts w:ascii="Symbol" w:hAnsi="Symbol" w:hint="default"/>
      </w:rPr>
    </w:lvl>
    <w:lvl w:ilvl="1" w:tplc="C18CB650">
      <w:start w:val="1"/>
      <w:numFmt w:val="bullet"/>
      <w:lvlText w:val="o"/>
      <w:lvlJc w:val="left"/>
      <w:pPr>
        <w:ind w:left="1440" w:hanging="360"/>
      </w:pPr>
      <w:rPr>
        <w:rFonts w:ascii="Courier New" w:hAnsi="Courier New" w:hint="default"/>
      </w:rPr>
    </w:lvl>
    <w:lvl w:ilvl="2" w:tplc="B23C259C">
      <w:start w:val="1"/>
      <w:numFmt w:val="bullet"/>
      <w:lvlText w:val=""/>
      <w:lvlJc w:val="left"/>
      <w:pPr>
        <w:ind w:left="2160" w:hanging="360"/>
      </w:pPr>
      <w:rPr>
        <w:rFonts w:ascii="Wingdings" w:hAnsi="Wingdings" w:hint="default"/>
      </w:rPr>
    </w:lvl>
    <w:lvl w:ilvl="3" w:tplc="1B8E7D28">
      <w:start w:val="1"/>
      <w:numFmt w:val="bullet"/>
      <w:lvlText w:val=""/>
      <w:lvlJc w:val="left"/>
      <w:pPr>
        <w:ind w:left="2880" w:hanging="360"/>
      </w:pPr>
      <w:rPr>
        <w:rFonts w:ascii="Symbol" w:hAnsi="Symbol" w:hint="default"/>
      </w:rPr>
    </w:lvl>
    <w:lvl w:ilvl="4" w:tplc="DB2E0BE2">
      <w:start w:val="1"/>
      <w:numFmt w:val="bullet"/>
      <w:lvlText w:val="o"/>
      <w:lvlJc w:val="left"/>
      <w:pPr>
        <w:ind w:left="3600" w:hanging="360"/>
      </w:pPr>
      <w:rPr>
        <w:rFonts w:ascii="Courier New" w:hAnsi="Courier New" w:hint="default"/>
      </w:rPr>
    </w:lvl>
    <w:lvl w:ilvl="5" w:tplc="2794BDAE">
      <w:start w:val="1"/>
      <w:numFmt w:val="bullet"/>
      <w:lvlText w:val=""/>
      <w:lvlJc w:val="left"/>
      <w:pPr>
        <w:ind w:left="4320" w:hanging="360"/>
      </w:pPr>
      <w:rPr>
        <w:rFonts w:ascii="Wingdings" w:hAnsi="Wingdings" w:hint="default"/>
      </w:rPr>
    </w:lvl>
    <w:lvl w:ilvl="6" w:tplc="4B9ADAC4">
      <w:start w:val="1"/>
      <w:numFmt w:val="bullet"/>
      <w:lvlText w:val=""/>
      <w:lvlJc w:val="left"/>
      <w:pPr>
        <w:ind w:left="5040" w:hanging="360"/>
      </w:pPr>
      <w:rPr>
        <w:rFonts w:ascii="Symbol" w:hAnsi="Symbol" w:hint="default"/>
      </w:rPr>
    </w:lvl>
    <w:lvl w:ilvl="7" w:tplc="1D8A77BC">
      <w:start w:val="1"/>
      <w:numFmt w:val="bullet"/>
      <w:lvlText w:val="o"/>
      <w:lvlJc w:val="left"/>
      <w:pPr>
        <w:ind w:left="5760" w:hanging="360"/>
      </w:pPr>
      <w:rPr>
        <w:rFonts w:ascii="Courier New" w:hAnsi="Courier New" w:hint="default"/>
      </w:rPr>
    </w:lvl>
    <w:lvl w:ilvl="8" w:tplc="043E1FB6">
      <w:start w:val="1"/>
      <w:numFmt w:val="bullet"/>
      <w:lvlText w:val=""/>
      <w:lvlJc w:val="left"/>
      <w:pPr>
        <w:ind w:left="6480" w:hanging="360"/>
      </w:pPr>
      <w:rPr>
        <w:rFonts w:ascii="Wingdings" w:hAnsi="Wingdings" w:hint="default"/>
      </w:rPr>
    </w:lvl>
  </w:abstractNum>
  <w:abstractNum w:abstractNumId="2" w15:restartNumberingAfterBreak="0">
    <w:nsid w:val="541F5F1A"/>
    <w:multiLevelType w:val="hybridMultilevel"/>
    <w:tmpl w:val="5C940AFE"/>
    <w:lvl w:ilvl="0" w:tplc="03146D52">
      <w:start w:val="1"/>
      <w:numFmt w:val="bullet"/>
      <w:lvlText w:val=""/>
      <w:lvlJc w:val="left"/>
      <w:pPr>
        <w:ind w:left="720" w:hanging="360"/>
      </w:pPr>
      <w:rPr>
        <w:rFonts w:ascii="Symbol" w:hAnsi="Symbol" w:hint="default"/>
      </w:rPr>
    </w:lvl>
    <w:lvl w:ilvl="1" w:tplc="55D89B6C">
      <w:start w:val="1"/>
      <w:numFmt w:val="bullet"/>
      <w:lvlText w:val="o"/>
      <w:lvlJc w:val="left"/>
      <w:pPr>
        <w:ind w:left="1440" w:hanging="360"/>
      </w:pPr>
      <w:rPr>
        <w:rFonts w:ascii="Courier New" w:hAnsi="Courier New" w:hint="default"/>
      </w:rPr>
    </w:lvl>
    <w:lvl w:ilvl="2" w:tplc="EB3CE3DE">
      <w:start w:val="1"/>
      <w:numFmt w:val="bullet"/>
      <w:lvlText w:val=""/>
      <w:lvlJc w:val="left"/>
      <w:pPr>
        <w:ind w:left="2160" w:hanging="360"/>
      </w:pPr>
      <w:rPr>
        <w:rFonts w:ascii="Wingdings" w:hAnsi="Wingdings" w:hint="default"/>
      </w:rPr>
    </w:lvl>
    <w:lvl w:ilvl="3" w:tplc="62B2B4E2">
      <w:start w:val="1"/>
      <w:numFmt w:val="bullet"/>
      <w:lvlText w:val=""/>
      <w:lvlJc w:val="left"/>
      <w:pPr>
        <w:ind w:left="2880" w:hanging="360"/>
      </w:pPr>
      <w:rPr>
        <w:rFonts w:ascii="Symbol" w:hAnsi="Symbol" w:hint="default"/>
      </w:rPr>
    </w:lvl>
    <w:lvl w:ilvl="4" w:tplc="F5BCD3C0">
      <w:start w:val="1"/>
      <w:numFmt w:val="bullet"/>
      <w:lvlText w:val="o"/>
      <w:lvlJc w:val="left"/>
      <w:pPr>
        <w:ind w:left="3600" w:hanging="360"/>
      </w:pPr>
      <w:rPr>
        <w:rFonts w:ascii="Courier New" w:hAnsi="Courier New" w:hint="default"/>
      </w:rPr>
    </w:lvl>
    <w:lvl w:ilvl="5" w:tplc="E93EAB2E">
      <w:start w:val="1"/>
      <w:numFmt w:val="bullet"/>
      <w:lvlText w:val=""/>
      <w:lvlJc w:val="left"/>
      <w:pPr>
        <w:ind w:left="4320" w:hanging="360"/>
      </w:pPr>
      <w:rPr>
        <w:rFonts w:ascii="Wingdings" w:hAnsi="Wingdings" w:hint="default"/>
      </w:rPr>
    </w:lvl>
    <w:lvl w:ilvl="6" w:tplc="915036D0">
      <w:start w:val="1"/>
      <w:numFmt w:val="bullet"/>
      <w:lvlText w:val=""/>
      <w:lvlJc w:val="left"/>
      <w:pPr>
        <w:ind w:left="5040" w:hanging="360"/>
      </w:pPr>
      <w:rPr>
        <w:rFonts w:ascii="Symbol" w:hAnsi="Symbol" w:hint="default"/>
      </w:rPr>
    </w:lvl>
    <w:lvl w:ilvl="7" w:tplc="4D9CDA36">
      <w:start w:val="1"/>
      <w:numFmt w:val="bullet"/>
      <w:lvlText w:val="o"/>
      <w:lvlJc w:val="left"/>
      <w:pPr>
        <w:ind w:left="5760" w:hanging="360"/>
      </w:pPr>
      <w:rPr>
        <w:rFonts w:ascii="Courier New" w:hAnsi="Courier New" w:hint="default"/>
      </w:rPr>
    </w:lvl>
    <w:lvl w:ilvl="8" w:tplc="C74A124C">
      <w:start w:val="1"/>
      <w:numFmt w:val="bullet"/>
      <w:lvlText w:val=""/>
      <w:lvlJc w:val="left"/>
      <w:pPr>
        <w:ind w:left="6480" w:hanging="360"/>
      </w:pPr>
      <w:rPr>
        <w:rFonts w:ascii="Wingdings" w:hAnsi="Wingdings" w:hint="default"/>
      </w:rPr>
    </w:lvl>
  </w:abstractNum>
  <w:abstractNum w:abstractNumId="3" w15:restartNumberingAfterBreak="0">
    <w:nsid w:val="6E356F74"/>
    <w:multiLevelType w:val="hybridMultilevel"/>
    <w:tmpl w:val="2BF011F2"/>
    <w:lvl w:ilvl="0" w:tplc="BB1A825A">
      <w:start w:val="1"/>
      <w:numFmt w:val="bullet"/>
      <w:lvlText w:val=""/>
      <w:lvlJc w:val="left"/>
      <w:pPr>
        <w:ind w:left="720" w:hanging="360"/>
      </w:pPr>
      <w:rPr>
        <w:rFonts w:ascii="Symbol" w:hAnsi="Symbol" w:hint="default"/>
      </w:rPr>
    </w:lvl>
    <w:lvl w:ilvl="1" w:tplc="3098BFC0">
      <w:start w:val="1"/>
      <w:numFmt w:val="bullet"/>
      <w:lvlText w:val="o"/>
      <w:lvlJc w:val="left"/>
      <w:pPr>
        <w:ind w:left="1440" w:hanging="360"/>
      </w:pPr>
      <w:rPr>
        <w:rFonts w:ascii="Courier New" w:hAnsi="Courier New" w:hint="default"/>
      </w:rPr>
    </w:lvl>
    <w:lvl w:ilvl="2" w:tplc="9DD8F182">
      <w:start w:val="1"/>
      <w:numFmt w:val="bullet"/>
      <w:lvlText w:val=""/>
      <w:lvlJc w:val="left"/>
      <w:pPr>
        <w:ind w:left="2160" w:hanging="360"/>
      </w:pPr>
      <w:rPr>
        <w:rFonts w:ascii="Wingdings" w:hAnsi="Wingdings" w:hint="default"/>
      </w:rPr>
    </w:lvl>
    <w:lvl w:ilvl="3" w:tplc="8CE83FFA">
      <w:start w:val="1"/>
      <w:numFmt w:val="bullet"/>
      <w:lvlText w:val=""/>
      <w:lvlJc w:val="left"/>
      <w:pPr>
        <w:ind w:left="2880" w:hanging="360"/>
      </w:pPr>
      <w:rPr>
        <w:rFonts w:ascii="Symbol" w:hAnsi="Symbol" w:hint="default"/>
      </w:rPr>
    </w:lvl>
    <w:lvl w:ilvl="4" w:tplc="D7046DCC">
      <w:start w:val="1"/>
      <w:numFmt w:val="bullet"/>
      <w:lvlText w:val="o"/>
      <w:lvlJc w:val="left"/>
      <w:pPr>
        <w:ind w:left="3600" w:hanging="360"/>
      </w:pPr>
      <w:rPr>
        <w:rFonts w:ascii="Courier New" w:hAnsi="Courier New" w:hint="default"/>
      </w:rPr>
    </w:lvl>
    <w:lvl w:ilvl="5" w:tplc="AC3E43F6">
      <w:start w:val="1"/>
      <w:numFmt w:val="bullet"/>
      <w:lvlText w:val=""/>
      <w:lvlJc w:val="left"/>
      <w:pPr>
        <w:ind w:left="4320" w:hanging="360"/>
      </w:pPr>
      <w:rPr>
        <w:rFonts w:ascii="Wingdings" w:hAnsi="Wingdings" w:hint="default"/>
      </w:rPr>
    </w:lvl>
    <w:lvl w:ilvl="6" w:tplc="BAF24E50">
      <w:start w:val="1"/>
      <w:numFmt w:val="bullet"/>
      <w:lvlText w:val=""/>
      <w:lvlJc w:val="left"/>
      <w:pPr>
        <w:ind w:left="5040" w:hanging="360"/>
      </w:pPr>
      <w:rPr>
        <w:rFonts w:ascii="Symbol" w:hAnsi="Symbol" w:hint="default"/>
      </w:rPr>
    </w:lvl>
    <w:lvl w:ilvl="7" w:tplc="CDB89A1E">
      <w:start w:val="1"/>
      <w:numFmt w:val="bullet"/>
      <w:lvlText w:val="o"/>
      <w:lvlJc w:val="left"/>
      <w:pPr>
        <w:ind w:left="5760" w:hanging="360"/>
      </w:pPr>
      <w:rPr>
        <w:rFonts w:ascii="Courier New" w:hAnsi="Courier New" w:hint="default"/>
      </w:rPr>
    </w:lvl>
    <w:lvl w:ilvl="8" w:tplc="F54645D2">
      <w:start w:val="1"/>
      <w:numFmt w:val="bullet"/>
      <w:lvlText w:val=""/>
      <w:lvlJc w:val="left"/>
      <w:pPr>
        <w:ind w:left="6480" w:hanging="360"/>
      </w:pPr>
      <w:rPr>
        <w:rFonts w:ascii="Wingdings" w:hAnsi="Wingdings" w:hint="default"/>
      </w:rPr>
    </w:lvl>
  </w:abstractNum>
  <w:abstractNum w:abstractNumId="4" w15:restartNumberingAfterBreak="0">
    <w:nsid w:val="6F292B48"/>
    <w:multiLevelType w:val="hybridMultilevel"/>
    <w:tmpl w:val="3CEA4F70"/>
    <w:lvl w:ilvl="0" w:tplc="DD9C4C08">
      <w:start w:val="1"/>
      <w:numFmt w:val="bullet"/>
      <w:lvlText w:val=""/>
      <w:lvlJc w:val="left"/>
      <w:pPr>
        <w:ind w:left="720" w:hanging="360"/>
      </w:pPr>
      <w:rPr>
        <w:rFonts w:ascii="Symbol" w:hAnsi="Symbol" w:hint="default"/>
      </w:rPr>
    </w:lvl>
    <w:lvl w:ilvl="1" w:tplc="22569B82">
      <w:start w:val="1"/>
      <w:numFmt w:val="bullet"/>
      <w:lvlText w:val="o"/>
      <w:lvlJc w:val="left"/>
      <w:pPr>
        <w:ind w:left="1440" w:hanging="360"/>
      </w:pPr>
      <w:rPr>
        <w:rFonts w:ascii="Courier New" w:hAnsi="Courier New" w:hint="default"/>
      </w:rPr>
    </w:lvl>
    <w:lvl w:ilvl="2" w:tplc="65D041B0">
      <w:start w:val="1"/>
      <w:numFmt w:val="bullet"/>
      <w:lvlText w:val=""/>
      <w:lvlJc w:val="left"/>
      <w:pPr>
        <w:ind w:left="2160" w:hanging="360"/>
      </w:pPr>
      <w:rPr>
        <w:rFonts w:ascii="Wingdings" w:hAnsi="Wingdings" w:hint="default"/>
      </w:rPr>
    </w:lvl>
    <w:lvl w:ilvl="3" w:tplc="630C5112">
      <w:start w:val="1"/>
      <w:numFmt w:val="bullet"/>
      <w:lvlText w:val=""/>
      <w:lvlJc w:val="left"/>
      <w:pPr>
        <w:ind w:left="2880" w:hanging="360"/>
      </w:pPr>
      <w:rPr>
        <w:rFonts w:ascii="Symbol" w:hAnsi="Symbol" w:hint="default"/>
      </w:rPr>
    </w:lvl>
    <w:lvl w:ilvl="4" w:tplc="9ABEE402">
      <w:start w:val="1"/>
      <w:numFmt w:val="bullet"/>
      <w:lvlText w:val="o"/>
      <w:lvlJc w:val="left"/>
      <w:pPr>
        <w:ind w:left="3600" w:hanging="360"/>
      </w:pPr>
      <w:rPr>
        <w:rFonts w:ascii="Courier New" w:hAnsi="Courier New" w:hint="default"/>
      </w:rPr>
    </w:lvl>
    <w:lvl w:ilvl="5" w:tplc="9E267ED0">
      <w:start w:val="1"/>
      <w:numFmt w:val="bullet"/>
      <w:lvlText w:val=""/>
      <w:lvlJc w:val="left"/>
      <w:pPr>
        <w:ind w:left="4320" w:hanging="360"/>
      </w:pPr>
      <w:rPr>
        <w:rFonts w:ascii="Wingdings" w:hAnsi="Wingdings" w:hint="default"/>
      </w:rPr>
    </w:lvl>
    <w:lvl w:ilvl="6" w:tplc="6CD6C336">
      <w:start w:val="1"/>
      <w:numFmt w:val="bullet"/>
      <w:lvlText w:val=""/>
      <w:lvlJc w:val="left"/>
      <w:pPr>
        <w:ind w:left="5040" w:hanging="360"/>
      </w:pPr>
      <w:rPr>
        <w:rFonts w:ascii="Symbol" w:hAnsi="Symbol" w:hint="default"/>
      </w:rPr>
    </w:lvl>
    <w:lvl w:ilvl="7" w:tplc="8C448E66">
      <w:start w:val="1"/>
      <w:numFmt w:val="bullet"/>
      <w:lvlText w:val="o"/>
      <w:lvlJc w:val="left"/>
      <w:pPr>
        <w:ind w:left="5760" w:hanging="360"/>
      </w:pPr>
      <w:rPr>
        <w:rFonts w:ascii="Courier New" w:hAnsi="Courier New" w:hint="default"/>
      </w:rPr>
    </w:lvl>
    <w:lvl w:ilvl="8" w:tplc="8408C77A">
      <w:start w:val="1"/>
      <w:numFmt w:val="bullet"/>
      <w:lvlText w:val=""/>
      <w:lvlJc w:val="left"/>
      <w:pPr>
        <w:ind w:left="6480" w:hanging="360"/>
      </w:pPr>
      <w:rPr>
        <w:rFonts w:ascii="Wingdings" w:hAnsi="Wingdings" w:hint="default"/>
      </w:rPr>
    </w:lvl>
  </w:abstractNum>
  <w:abstractNum w:abstractNumId="5" w15:restartNumberingAfterBreak="0">
    <w:nsid w:val="7A2F8C96"/>
    <w:multiLevelType w:val="hybridMultilevel"/>
    <w:tmpl w:val="044669DC"/>
    <w:lvl w:ilvl="0" w:tplc="BCA69EBE">
      <w:start w:val="1"/>
      <w:numFmt w:val="bullet"/>
      <w:lvlText w:val=""/>
      <w:lvlJc w:val="left"/>
      <w:pPr>
        <w:ind w:left="720" w:hanging="360"/>
      </w:pPr>
      <w:rPr>
        <w:rFonts w:ascii="Symbol" w:hAnsi="Symbol" w:hint="default"/>
      </w:rPr>
    </w:lvl>
    <w:lvl w:ilvl="1" w:tplc="4FB68062">
      <w:start w:val="1"/>
      <w:numFmt w:val="bullet"/>
      <w:lvlText w:val="o"/>
      <w:lvlJc w:val="left"/>
      <w:pPr>
        <w:ind w:left="1440" w:hanging="360"/>
      </w:pPr>
      <w:rPr>
        <w:rFonts w:ascii="Courier New" w:hAnsi="Courier New" w:hint="default"/>
      </w:rPr>
    </w:lvl>
    <w:lvl w:ilvl="2" w:tplc="C9486F4E">
      <w:start w:val="1"/>
      <w:numFmt w:val="bullet"/>
      <w:lvlText w:val=""/>
      <w:lvlJc w:val="left"/>
      <w:pPr>
        <w:ind w:left="2160" w:hanging="360"/>
      </w:pPr>
      <w:rPr>
        <w:rFonts w:ascii="Wingdings" w:hAnsi="Wingdings" w:hint="default"/>
      </w:rPr>
    </w:lvl>
    <w:lvl w:ilvl="3" w:tplc="94CCDAA0">
      <w:start w:val="1"/>
      <w:numFmt w:val="bullet"/>
      <w:lvlText w:val=""/>
      <w:lvlJc w:val="left"/>
      <w:pPr>
        <w:ind w:left="2880" w:hanging="360"/>
      </w:pPr>
      <w:rPr>
        <w:rFonts w:ascii="Symbol" w:hAnsi="Symbol" w:hint="default"/>
      </w:rPr>
    </w:lvl>
    <w:lvl w:ilvl="4" w:tplc="C6B0F06C">
      <w:start w:val="1"/>
      <w:numFmt w:val="bullet"/>
      <w:lvlText w:val="o"/>
      <w:lvlJc w:val="left"/>
      <w:pPr>
        <w:ind w:left="3600" w:hanging="360"/>
      </w:pPr>
      <w:rPr>
        <w:rFonts w:ascii="Courier New" w:hAnsi="Courier New" w:hint="default"/>
      </w:rPr>
    </w:lvl>
    <w:lvl w:ilvl="5" w:tplc="102CCD62">
      <w:start w:val="1"/>
      <w:numFmt w:val="bullet"/>
      <w:lvlText w:val=""/>
      <w:lvlJc w:val="left"/>
      <w:pPr>
        <w:ind w:left="4320" w:hanging="360"/>
      </w:pPr>
      <w:rPr>
        <w:rFonts w:ascii="Wingdings" w:hAnsi="Wingdings" w:hint="default"/>
      </w:rPr>
    </w:lvl>
    <w:lvl w:ilvl="6" w:tplc="9FEA548A">
      <w:start w:val="1"/>
      <w:numFmt w:val="bullet"/>
      <w:lvlText w:val=""/>
      <w:lvlJc w:val="left"/>
      <w:pPr>
        <w:ind w:left="5040" w:hanging="360"/>
      </w:pPr>
      <w:rPr>
        <w:rFonts w:ascii="Symbol" w:hAnsi="Symbol" w:hint="default"/>
      </w:rPr>
    </w:lvl>
    <w:lvl w:ilvl="7" w:tplc="9C7227EA">
      <w:start w:val="1"/>
      <w:numFmt w:val="bullet"/>
      <w:lvlText w:val="o"/>
      <w:lvlJc w:val="left"/>
      <w:pPr>
        <w:ind w:left="5760" w:hanging="360"/>
      </w:pPr>
      <w:rPr>
        <w:rFonts w:ascii="Courier New" w:hAnsi="Courier New" w:hint="default"/>
      </w:rPr>
    </w:lvl>
    <w:lvl w:ilvl="8" w:tplc="C45E044E">
      <w:start w:val="1"/>
      <w:numFmt w:val="bullet"/>
      <w:lvlText w:val=""/>
      <w:lvlJc w:val="left"/>
      <w:pPr>
        <w:ind w:left="6480" w:hanging="360"/>
      </w:pPr>
      <w:rPr>
        <w:rFonts w:ascii="Wingdings" w:hAnsi="Wingdings" w:hint="default"/>
      </w:rPr>
    </w:lvl>
  </w:abstractNum>
  <w:num w:numId="1" w16cid:durableId="1871719315">
    <w:abstractNumId w:val="1"/>
  </w:num>
  <w:num w:numId="2" w16cid:durableId="1826315782">
    <w:abstractNumId w:val="3"/>
  </w:num>
  <w:num w:numId="3" w16cid:durableId="248544889">
    <w:abstractNumId w:val="4"/>
  </w:num>
  <w:num w:numId="4" w16cid:durableId="976379887">
    <w:abstractNumId w:val="5"/>
  </w:num>
  <w:num w:numId="5" w16cid:durableId="1697651676">
    <w:abstractNumId w:val="2"/>
  </w:num>
  <w:num w:numId="6" w16cid:durableId="39296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5FCB6F"/>
    <w:rsid w:val="003A7FA9"/>
    <w:rsid w:val="00D15DC4"/>
    <w:rsid w:val="00F17F3B"/>
    <w:rsid w:val="00F82923"/>
    <w:rsid w:val="012D4AB1"/>
    <w:rsid w:val="01CF668A"/>
    <w:rsid w:val="026ECA1B"/>
    <w:rsid w:val="02B3ADE2"/>
    <w:rsid w:val="0497A18E"/>
    <w:rsid w:val="05BE0196"/>
    <w:rsid w:val="07AE05DA"/>
    <w:rsid w:val="07F0AD56"/>
    <w:rsid w:val="08E2C43F"/>
    <w:rsid w:val="0938B546"/>
    <w:rsid w:val="096BEA13"/>
    <w:rsid w:val="09DCF368"/>
    <w:rsid w:val="0AA57448"/>
    <w:rsid w:val="0B08DC9C"/>
    <w:rsid w:val="0C238847"/>
    <w:rsid w:val="0CFC18FC"/>
    <w:rsid w:val="0D3E0F4E"/>
    <w:rsid w:val="0D832BCB"/>
    <w:rsid w:val="0E8F7E4D"/>
    <w:rsid w:val="0ED213F6"/>
    <w:rsid w:val="0F3FB289"/>
    <w:rsid w:val="0FCFDD7F"/>
    <w:rsid w:val="0FF2AFE1"/>
    <w:rsid w:val="108996DE"/>
    <w:rsid w:val="1089E8F2"/>
    <w:rsid w:val="10B819CD"/>
    <w:rsid w:val="10D6E0E3"/>
    <w:rsid w:val="11FB1507"/>
    <w:rsid w:val="12E9BDC0"/>
    <w:rsid w:val="1388D867"/>
    <w:rsid w:val="13A367A8"/>
    <w:rsid w:val="143CEB74"/>
    <w:rsid w:val="147C47D8"/>
    <w:rsid w:val="14CF27D5"/>
    <w:rsid w:val="14E60B32"/>
    <w:rsid w:val="16A2A55E"/>
    <w:rsid w:val="16EEEF7E"/>
    <w:rsid w:val="170295AB"/>
    <w:rsid w:val="17AE8FB3"/>
    <w:rsid w:val="183C4B34"/>
    <w:rsid w:val="18BD2253"/>
    <w:rsid w:val="1A6C4295"/>
    <w:rsid w:val="1A75D0D9"/>
    <w:rsid w:val="1ADFB3B3"/>
    <w:rsid w:val="1C218308"/>
    <w:rsid w:val="1D78CB1E"/>
    <w:rsid w:val="1E247F62"/>
    <w:rsid w:val="1E5FA529"/>
    <w:rsid w:val="1F7B54D5"/>
    <w:rsid w:val="21BDA63E"/>
    <w:rsid w:val="220DC3ED"/>
    <w:rsid w:val="22432656"/>
    <w:rsid w:val="23376484"/>
    <w:rsid w:val="24278FFA"/>
    <w:rsid w:val="2535EBAF"/>
    <w:rsid w:val="25F37E4D"/>
    <w:rsid w:val="2685D28C"/>
    <w:rsid w:val="2791B65F"/>
    <w:rsid w:val="27E46CC7"/>
    <w:rsid w:val="28256AE8"/>
    <w:rsid w:val="283016D6"/>
    <w:rsid w:val="287C2EA8"/>
    <w:rsid w:val="287DAFC6"/>
    <w:rsid w:val="28C60256"/>
    <w:rsid w:val="2926214E"/>
    <w:rsid w:val="2B53B052"/>
    <w:rsid w:val="2B81204E"/>
    <w:rsid w:val="2D0B7890"/>
    <w:rsid w:val="2D2CCD26"/>
    <w:rsid w:val="2E36173F"/>
    <w:rsid w:val="2E635BAB"/>
    <w:rsid w:val="2EC8243D"/>
    <w:rsid w:val="2F2E96A9"/>
    <w:rsid w:val="2F3700E3"/>
    <w:rsid w:val="327749A5"/>
    <w:rsid w:val="3355E1A1"/>
    <w:rsid w:val="3389C170"/>
    <w:rsid w:val="33A97B2E"/>
    <w:rsid w:val="34190D54"/>
    <w:rsid w:val="35262C6C"/>
    <w:rsid w:val="35BAC7E8"/>
    <w:rsid w:val="35D653F8"/>
    <w:rsid w:val="36AD6318"/>
    <w:rsid w:val="36DABFCB"/>
    <w:rsid w:val="36DF836A"/>
    <w:rsid w:val="3720CAA4"/>
    <w:rsid w:val="37634FF5"/>
    <w:rsid w:val="37F345A4"/>
    <w:rsid w:val="381EA704"/>
    <w:rsid w:val="3A22A7D5"/>
    <w:rsid w:val="3A445C72"/>
    <w:rsid w:val="3A5010F3"/>
    <w:rsid w:val="3B5CF156"/>
    <w:rsid w:val="3B5DABE5"/>
    <w:rsid w:val="3BAA8503"/>
    <w:rsid w:val="3C287C61"/>
    <w:rsid w:val="3CAB24BB"/>
    <w:rsid w:val="3D35BB1E"/>
    <w:rsid w:val="3D4F2F19"/>
    <w:rsid w:val="3EB58339"/>
    <w:rsid w:val="3EE4B4E0"/>
    <w:rsid w:val="3F5FE646"/>
    <w:rsid w:val="3F87E548"/>
    <w:rsid w:val="3FA0C5F2"/>
    <w:rsid w:val="3FF11A8F"/>
    <w:rsid w:val="40200181"/>
    <w:rsid w:val="404DDA71"/>
    <w:rsid w:val="4108CB2A"/>
    <w:rsid w:val="412911B2"/>
    <w:rsid w:val="4192EA7F"/>
    <w:rsid w:val="41F2E7EA"/>
    <w:rsid w:val="4394DC00"/>
    <w:rsid w:val="440D6283"/>
    <w:rsid w:val="445FCB6F"/>
    <w:rsid w:val="446B6CF9"/>
    <w:rsid w:val="4541E56C"/>
    <w:rsid w:val="47987E7B"/>
    <w:rsid w:val="47CD52A4"/>
    <w:rsid w:val="4833203E"/>
    <w:rsid w:val="48E76D0D"/>
    <w:rsid w:val="497EFE3B"/>
    <w:rsid w:val="49DEFAF0"/>
    <w:rsid w:val="49E38C58"/>
    <w:rsid w:val="4A0B72BD"/>
    <w:rsid w:val="4A4BF5A5"/>
    <w:rsid w:val="4A5297DA"/>
    <w:rsid w:val="4A686782"/>
    <w:rsid w:val="4AB515BD"/>
    <w:rsid w:val="4B8DE531"/>
    <w:rsid w:val="4D505186"/>
    <w:rsid w:val="4D97BEF4"/>
    <w:rsid w:val="4DDE6613"/>
    <w:rsid w:val="4DF8C91F"/>
    <w:rsid w:val="4E7F07FC"/>
    <w:rsid w:val="4EB6B0EB"/>
    <w:rsid w:val="4EE422B1"/>
    <w:rsid w:val="4F013056"/>
    <w:rsid w:val="4F3AD6DB"/>
    <w:rsid w:val="4FE01948"/>
    <w:rsid w:val="4FF657F5"/>
    <w:rsid w:val="500AEADC"/>
    <w:rsid w:val="505A2558"/>
    <w:rsid w:val="50CC58BC"/>
    <w:rsid w:val="51D1767F"/>
    <w:rsid w:val="52EF1F00"/>
    <w:rsid w:val="535A54CE"/>
    <w:rsid w:val="53FCD32B"/>
    <w:rsid w:val="54945E0A"/>
    <w:rsid w:val="55334DAA"/>
    <w:rsid w:val="5534F977"/>
    <w:rsid w:val="5736AA50"/>
    <w:rsid w:val="58984F32"/>
    <w:rsid w:val="58F9D551"/>
    <w:rsid w:val="59A67428"/>
    <w:rsid w:val="59B4D247"/>
    <w:rsid w:val="5A1371C0"/>
    <w:rsid w:val="5A46A91E"/>
    <w:rsid w:val="5A968413"/>
    <w:rsid w:val="5B347B2F"/>
    <w:rsid w:val="5C457987"/>
    <w:rsid w:val="5C855A88"/>
    <w:rsid w:val="5CE600B5"/>
    <w:rsid w:val="5D32EC46"/>
    <w:rsid w:val="5D473C14"/>
    <w:rsid w:val="5D5315D5"/>
    <w:rsid w:val="5E07DF9F"/>
    <w:rsid w:val="5E683CE8"/>
    <w:rsid w:val="5EC6FD6F"/>
    <w:rsid w:val="5F0D935C"/>
    <w:rsid w:val="5F32C65C"/>
    <w:rsid w:val="6006E733"/>
    <w:rsid w:val="606C1DC8"/>
    <w:rsid w:val="619B791F"/>
    <w:rsid w:val="61ADAD38"/>
    <w:rsid w:val="61B15DEA"/>
    <w:rsid w:val="61FB3541"/>
    <w:rsid w:val="623D223E"/>
    <w:rsid w:val="63936C4F"/>
    <w:rsid w:val="63C7B607"/>
    <w:rsid w:val="64C43A04"/>
    <w:rsid w:val="65E64F2C"/>
    <w:rsid w:val="65E9069D"/>
    <w:rsid w:val="65F1B1CC"/>
    <w:rsid w:val="671B9DFF"/>
    <w:rsid w:val="675ED437"/>
    <w:rsid w:val="679B1786"/>
    <w:rsid w:val="67D8088B"/>
    <w:rsid w:val="69F213B2"/>
    <w:rsid w:val="6AD83E74"/>
    <w:rsid w:val="6DB3D9E8"/>
    <w:rsid w:val="6E39419B"/>
    <w:rsid w:val="6E6F0ED9"/>
    <w:rsid w:val="6EAB64F0"/>
    <w:rsid w:val="6EC5A4C6"/>
    <w:rsid w:val="70FAE157"/>
    <w:rsid w:val="718B3478"/>
    <w:rsid w:val="71B18601"/>
    <w:rsid w:val="7214A010"/>
    <w:rsid w:val="73449917"/>
    <w:rsid w:val="74BF00F5"/>
    <w:rsid w:val="75B70641"/>
    <w:rsid w:val="76B13718"/>
    <w:rsid w:val="775CA9DF"/>
    <w:rsid w:val="789187FF"/>
    <w:rsid w:val="79EF8559"/>
    <w:rsid w:val="7A36A9F6"/>
    <w:rsid w:val="7A719812"/>
    <w:rsid w:val="7AB69FBD"/>
    <w:rsid w:val="7AB905A5"/>
    <w:rsid w:val="7BEE5E05"/>
    <w:rsid w:val="7C2F6F24"/>
    <w:rsid w:val="7C3711AD"/>
    <w:rsid w:val="7D14DA38"/>
    <w:rsid w:val="7E1E792E"/>
    <w:rsid w:val="7E92A07F"/>
    <w:rsid w:val="7FEAC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7E7B"/>
  <w15:chartTrackingRefBased/>
  <w15:docId w15:val="{3E403457-2490-4C52-8DC4-69089D9A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108CB2A"/>
    <w:rPr>
      <w:color w:val="467886"/>
      <w:u w:val="single"/>
    </w:rPr>
  </w:style>
  <w:style w:type="paragraph" w:styleId="ListParagraph">
    <w:name w:val="List Paragraph"/>
    <w:basedOn w:val="Normal"/>
    <w:uiPriority w:val="34"/>
    <w:qFormat/>
    <w:rsid w:val="00D15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1333</Words>
  <Characters>7604</Characters>
  <Application>Microsoft Office Word</Application>
  <DocSecurity>4</DocSecurity>
  <Lines>63</Lines>
  <Paragraphs>17</Paragraphs>
  <ScaleCrop>false</ScaleCrop>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Hodgson</dc:creator>
  <cp:keywords/>
  <dc:description/>
  <cp:lastModifiedBy>Amal Ramadan</cp:lastModifiedBy>
  <cp:revision>2</cp:revision>
  <dcterms:created xsi:type="dcterms:W3CDTF">2025-09-16T11:45:00Z</dcterms:created>
  <dcterms:modified xsi:type="dcterms:W3CDTF">2025-09-16T11:45:00Z</dcterms:modified>
</cp:coreProperties>
</file>